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5285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Bogotá</w:t>
      </w:r>
      <w:r w:rsidRPr="00C16896">
        <w:rPr>
          <w:rFonts w:asciiTheme="minorHAnsi" w:eastAsiaTheme="minorHAnsi" w:hAnsiTheme="minorHAnsi" w:cstheme="minorBidi"/>
          <w:kern w:val="2"/>
          <w:sz w:val="24"/>
          <w:szCs w:val="24"/>
          <w:lang w:val="es-CO" w:eastAsia="en-US"/>
          <w14:ligatures w14:val="standardContextual"/>
        </w:rPr>
        <w:t>, 22 de diciembre de 2025</w:t>
      </w:r>
    </w:p>
    <w:p w14:paraId="6299B339"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0B32112E" w14:textId="77777777" w:rsid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3D7D8A31" w14:textId="6AF66FF6"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Pr>
          <w:rFonts w:asciiTheme="minorHAnsi" w:eastAsiaTheme="minorHAnsi" w:hAnsiTheme="minorHAnsi" w:cstheme="minorBidi"/>
          <w:kern w:val="2"/>
          <w:sz w:val="24"/>
          <w:szCs w:val="24"/>
          <w:lang w:val="es-CO" w:eastAsia="en-US"/>
          <w14:ligatures w14:val="standardContextual"/>
        </w:rPr>
        <w:t xml:space="preserve">SEÑORES </w:t>
      </w:r>
    </w:p>
    <w:p w14:paraId="142B56A4" w14:textId="3A1E73E3" w:rsidR="00C16896" w:rsidRP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FOURTELCO</w:t>
      </w:r>
    </w:p>
    <w:p w14:paraId="7EF5D843"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47C72952" w14:textId="77777777" w:rsid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p w14:paraId="27D83449" w14:textId="77777777" w:rsid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p w14:paraId="387685EA" w14:textId="3E88F97E"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ASUNTO</w:t>
      </w:r>
      <w:r w:rsidRPr="00C16896">
        <w:rPr>
          <w:rFonts w:asciiTheme="minorHAnsi" w:eastAsiaTheme="minorHAnsi" w:hAnsiTheme="minorHAnsi" w:cstheme="minorBidi"/>
          <w:kern w:val="2"/>
          <w:sz w:val="24"/>
          <w:szCs w:val="24"/>
          <w:lang w:val="es-CO" w:eastAsia="en-US"/>
          <w14:ligatures w14:val="standardContextual"/>
        </w:rPr>
        <w:t xml:space="preserve">: Contrato 171 de 2025 – Mecanismo de gestión de controversia a informe preliminar de auditoría interna al SGSPI. </w:t>
      </w:r>
    </w:p>
    <w:p w14:paraId="35FC3A59"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28574818" w14:textId="77777777" w:rsid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Cordial saludo,</w:t>
      </w:r>
    </w:p>
    <w:p w14:paraId="2C13E5C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37757971"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En el marco de la ejecución del contrato 171 de 2025 en el cual se practicó la auditoría interna al Sistema de Gestión de Seguridad y Privacidad de la Información (SGSPI), y se recibió el primer informe preliminar como resultado de este ejercicio, desde la Dirección Administrativa y Financiera y el Grupo de Trabajo Interno de Tecnologías de la Información resaltamos la oportunidad de mejora del sistema que representa este ejercicio en pro de salvaguardar y proteger los activos de información de APC Colombia. Es por ello que, en aras de contar con la máxima eficacia del ejercicio, nos permitimos presentar el mecanismo de gestión de controversias frente a cinco no conformidades para su revisión y consideraciones, en el siguiente orden: </w:t>
      </w:r>
    </w:p>
    <w:p w14:paraId="024C62F5" w14:textId="77777777" w:rsid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6A64A67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32537EC6" w14:textId="77777777" w:rsidR="00C16896" w:rsidRPr="00C16896" w:rsidRDefault="00C16896" w:rsidP="00C16896">
      <w:pPr>
        <w:numPr>
          <w:ilvl w:val="0"/>
          <w:numId w:val="9"/>
        </w:numPr>
        <w:suppressAutoHyphens w:val="0"/>
        <w:rPr>
          <w:rFonts w:asciiTheme="minorHAnsi" w:eastAsiaTheme="minorHAnsi" w:hAnsiTheme="minorHAnsi" w:cstheme="minorBidi"/>
          <w:b/>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 xml:space="preserve">Controversia No Conformidad (1) </w:t>
      </w:r>
    </w:p>
    <w:tbl>
      <w:tblPr>
        <w:tblStyle w:val="Tablaconcuadrcula"/>
        <w:tblW w:w="8931"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677"/>
        <w:gridCol w:w="4254"/>
      </w:tblGrid>
      <w:tr w:rsidR="00C16896" w:rsidRPr="00C16896" w14:paraId="625A8BF0" w14:textId="77777777" w:rsidTr="00AE7B08">
        <w:trPr>
          <w:tblCellSpacing w:w="20" w:type="dxa"/>
          <w:jc w:val="center"/>
        </w:trPr>
        <w:tc>
          <w:tcPr>
            <w:tcW w:w="4617" w:type="dxa"/>
            <w:shd w:val="clear" w:color="auto" w:fill="BFBFBF" w:themeFill="background1" w:themeFillShade="BF"/>
            <w:vAlign w:val="center"/>
          </w:tcPr>
          <w:p w14:paraId="48332D59"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 xml:space="preserve">Numeral norma: 4.3 </w:t>
            </w:r>
          </w:p>
        </w:tc>
        <w:tc>
          <w:tcPr>
            <w:tcW w:w="4194" w:type="dxa"/>
            <w:shd w:val="clear" w:color="auto" w:fill="BFBFBF" w:themeFill="background1" w:themeFillShade="BF"/>
            <w:vAlign w:val="center"/>
          </w:tcPr>
          <w:p w14:paraId="6E5F8ABE"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Resultado: NC</w:t>
            </w:r>
          </w:p>
        </w:tc>
      </w:tr>
      <w:tr w:rsidR="00C16896" w:rsidRPr="00C16896" w14:paraId="05BEBD98" w14:textId="77777777" w:rsidTr="00AE7B08">
        <w:trPr>
          <w:tblCellSpacing w:w="20" w:type="dxa"/>
          <w:jc w:val="center"/>
        </w:trPr>
        <w:tc>
          <w:tcPr>
            <w:tcW w:w="8851" w:type="dxa"/>
            <w:gridSpan w:val="2"/>
            <w:shd w:val="clear" w:color="auto" w:fill="BFBFBF" w:themeFill="background1" w:themeFillShade="BF"/>
            <w:vAlign w:val="center"/>
          </w:tcPr>
          <w:p w14:paraId="46B76C33"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 xml:space="preserve">Descripción del Resultado del Informe de Auditoría </w:t>
            </w:r>
          </w:p>
        </w:tc>
      </w:tr>
      <w:tr w:rsidR="00C16896" w:rsidRPr="00C16896" w14:paraId="75CA7FCE" w14:textId="77777777" w:rsidTr="00AE7B08">
        <w:trPr>
          <w:tblCellSpacing w:w="20" w:type="dxa"/>
          <w:jc w:val="center"/>
        </w:trPr>
        <w:tc>
          <w:tcPr>
            <w:tcW w:w="8851" w:type="dxa"/>
            <w:gridSpan w:val="2"/>
            <w:shd w:val="clear" w:color="auto" w:fill="FFFFFF" w:themeFill="background1"/>
            <w:vAlign w:val="center"/>
          </w:tcPr>
          <w:p w14:paraId="017C1443"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Durante la auditoría se evidenció que la organización ha definido un alcance del SGPSI, este no contempla los lineamientos definidos en el numeral 4.3 como es considerar las cuestiones internas y externas del contexto y de las partes interesadas que afectan su propósito y dirección.</w:t>
            </w:r>
          </w:p>
          <w:p w14:paraId="10220FFB"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05CBC829"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Esta situación no es conforme con el numeral 4.3 – Determinación del alcance del SGSI de la Norma ISO/IEC 27001:2022, el cual establece que la organización debe </w:t>
            </w:r>
            <w:r w:rsidRPr="00C16896">
              <w:rPr>
                <w:rFonts w:asciiTheme="minorHAnsi" w:eastAsiaTheme="minorHAnsi" w:hAnsiTheme="minorHAnsi" w:cstheme="minorBidi"/>
                <w:kern w:val="2"/>
                <w:sz w:val="24"/>
                <w:szCs w:val="24"/>
                <w:lang w:val="es-CO" w:eastAsia="en-US"/>
                <w14:ligatures w14:val="standardContextual"/>
              </w:rPr>
              <w:lastRenderedPageBreak/>
              <w:t>determinar y documentar el alcance del SGSI, teniendo en cuenta las cuestiones internas y externas relevantes, así como los requisitos de las partes interesadas.  La ausencia de un alcance claramente definido puede generar ambigüedad en la aplicación de controles, debilitar la gestión de riesgos y afectar la eficacia del SGSI y su alineación con los objetivos estratégicos de la organización.</w:t>
            </w:r>
          </w:p>
        </w:tc>
      </w:tr>
      <w:tr w:rsidR="00C16896" w:rsidRPr="00C16896" w14:paraId="396A6066" w14:textId="77777777" w:rsidTr="00AE7B08">
        <w:trPr>
          <w:tblCellSpacing w:w="20" w:type="dxa"/>
          <w:jc w:val="center"/>
        </w:trPr>
        <w:tc>
          <w:tcPr>
            <w:tcW w:w="8851" w:type="dxa"/>
            <w:gridSpan w:val="2"/>
            <w:shd w:val="clear" w:color="auto" w:fill="BFBFBF" w:themeFill="background1" w:themeFillShade="BF"/>
            <w:vAlign w:val="center"/>
          </w:tcPr>
          <w:p w14:paraId="7495FF27"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lastRenderedPageBreak/>
              <w:t>Descripción de la controversia</w:t>
            </w:r>
          </w:p>
        </w:tc>
      </w:tr>
      <w:tr w:rsidR="00C16896" w:rsidRPr="00C16896" w14:paraId="6346A2B5" w14:textId="77777777" w:rsidTr="00AE7B08">
        <w:trPr>
          <w:tblCellSpacing w:w="20" w:type="dxa"/>
          <w:jc w:val="center"/>
        </w:trPr>
        <w:tc>
          <w:tcPr>
            <w:tcW w:w="8851" w:type="dxa"/>
            <w:gridSpan w:val="2"/>
            <w:vAlign w:val="center"/>
          </w:tcPr>
          <w:p w14:paraId="4100EBD1"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Declaración del Alcance del Sistema:</w:t>
            </w:r>
            <w:r w:rsidRPr="00C16896">
              <w:rPr>
                <w:rFonts w:asciiTheme="minorHAnsi" w:eastAsiaTheme="minorHAnsi" w:hAnsiTheme="minorHAnsi" w:cstheme="minorBidi"/>
                <w:kern w:val="2"/>
                <w:sz w:val="24"/>
                <w:szCs w:val="24"/>
                <w:lang w:val="es-CO" w:eastAsia="en-US"/>
                <w14:ligatures w14:val="standardContextual"/>
              </w:rPr>
              <w:t xml:space="preserve"> “La Agencia Presidencial de Cooperación Internacional de Colombia, APC Colombia, adopta el Sistema de Gestión de la Seguridad y Privacidad de la Información (SGSPI), en el Sistema de Gestión Integral (SGI), con aplicación a catorce (14) procesos institucionales”.</w:t>
            </w:r>
          </w:p>
          <w:p w14:paraId="5B6384B2"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13E67D5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El SGSPI hace parte del Sistema de Gestión Integral (SGI) en el cual se articula con todos los lineamientos de los procesos institucionales y la declaración del alcance se articula así: </w:t>
            </w:r>
          </w:p>
          <w:p w14:paraId="0C63B3A0" w14:textId="77777777" w:rsidR="00C16896" w:rsidRPr="00C16896" w:rsidRDefault="00C16896" w:rsidP="00C16896">
            <w:pPr>
              <w:numPr>
                <w:ilvl w:val="0"/>
                <w:numId w:val="3"/>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Documento con código: A-OT-123 – “MANUAL DE OPERACIÓN DEL SGSPI”. </w:t>
            </w:r>
          </w:p>
          <w:p w14:paraId="67EEB101" w14:textId="77777777" w:rsidR="00C16896" w:rsidRPr="00C16896" w:rsidRDefault="00C16896" w:rsidP="00C16896">
            <w:pPr>
              <w:numPr>
                <w:ilvl w:val="0"/>
                <w:numId w:val="3"/>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Documento “POLÍTICA DE SEGURIDAD Y PRIVACIDAD DE LA INFORMACIÓN” con código A-OT-011 que declara: “Los lineamientos establecidos en esta Política de seguridad y privacidad de la información, aplican para todos los procesos institucionales, </w:t>
            </w:r>
            <w:r w:rsidRPr="00C16896">
              <w:rPr>
                <w:rFonts w:asciiTheme="minorHAnsi" w:eastAsiaTheme="minorHAnsi" w:hAnsiTheme="minorHAnsi" w:cstheme="minorBidi"/>
                <w:b/>
                <w:bCs/>
                <w:kern w:val="2"/>
                <w:sz w:val="24"/>
                <w:szCs w:val="24"/>
                <w:lang w:val="es-CO" w:eastAsia="en-US"/>
                <w14:ligatures w14:val="standardContextual"/>
              </w:rPr>
              <w:t>gestionando las partes interesadas y grupos de valor de la APC Colombia</w:t>
            </w:r>
            <w:r w:rsidRPr="00C16896">
              <w:rPr>
                <w:rFonts w:asciiTheme="minorHAnsi" w:eastAsiaTheme="minorHAnsi" w:hAnsiTheme="minorHAnsi" w:cstheme="minorBidi"/>
                <w:kern w:val="2"/>
                <w:sz w:val="24"/>
                <w:szCs w:val="24"/>
                <w:lang w:val="es-CO" w:eastAsia="en-US"/>
                <w14:ligatures w14:val="standardContextual"/>
              </w:rPr>
              <w:t xml:space="preserve">.” resaltado en negrita fuera de texto. </w:t>
            </w:r>
          </w:p>
          <w:p w14:paraId="4B094FD3" w14:textId="77777777" w:rsidR="00C16896" w:rsidRPr="00C16896" w:rsidRDefault="00C16896" w:rsidP="00C16896">
            <w:pPr>
              <w:numPr>
                <w:ilvl w:val="0"/>
                <w:numId w:val="3"/>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Documento “Caracterización de partes interesadas y grupos de valor” con código:  A-OT-084 </w:t>
            </w:r>
          </w:p>
          <w:p w14:paraId="3F483109" w14:textId="77777777" w:rsidR="00C16896" w:rsidRPr="00C16896" w:rsidRDefault="00C16896" w:rsidP="00C16896">
            <w:pPr>
              <w:numPr>
                <w:ilvl w:val="0"/>
                <w:numId w:val="3"/>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Documento “REQUISITOS DE SEGURIDAD DE LA INFORMACIÓN DE PARTES INTERESADAS Y GRUPOS DE VALOR” con código: A-FO-289, </w:t>
            </w:r>
          </w:p>
          <w:p w14:paraId="4F8E08E0" w14:textId="77777777" w:rsidR="00C16896" w:rsidRPr="00C16896" w:rsidRDefault="00C16896" w:rsidP="00C16896">
            <w:pPr>
              <w:numPr>
                <w:ilvl w:val="0"/>
                <w:numId w:val="3"/>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“MANUAL DEL SISTEMA DE GESTIÓN INTEGRAL” con Código: A-OT-003 el cual establece las cuestiones internas y externas (ver: contexto estratégico y matriz FODA). </w:t>
            </w:r>
          </w:p>
          <w:p w14:paraId="16F754B7"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2979B411" w14:textId="16D2E242"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En este sentido el alcance del SGSPI si considera las cuestiones internas y externas del contexto y de las partes interesadas pues el sistema se articula con diferentes documentos del SGI </w:t>
            </w:r>
            <w:r w:rsidR="005122EF" w:rsidRPr="00C16896">
              <w:rPr>
                <w:rFonts w:asciiTheme="minorHAnsi" w:eastAsiaTheme="minorHAnsi" w:hAnsiTheme="minorHAnsi" w:cstheme="minorBidi"/>
                <w:kern w:val="2"/>
                <w:sz w:val="24"/>
                <w:szCs w:val="24"/>
                <w:lang w:val="es-CO" w:eastAsia="en-US"/>
                <w14:ligatures w14:val="standardContextual"/>
              </w:rPr>
              <w:t>que,</w:t>
            </w:r>
            <w:r w:rsidRPr="00C16896">
              <w:rPr>
                <w:rFonts w:asciiTheme="minorHAnsi" w:eastAsiaTheme="minorHAnsi" w:hAnsiTheme="minorHAnsi" w:cstheme="minorBidi"/>
                <w:kern w:val="2"/>
                <w:sz w:val="24"/>
                <w:szCs w:val="24"/>
                <w:lang w:val="es-CO" w:eastAsia="en-US"/>
                <w14:ligatures w14:val="standardContextual"/>
              </w:rPr>
              <w:t xml:space="preserve"> si bien puede ser susceptible de presentar una oportunidad de mejora desde la redacción en el primer documento, ello no significa la </w:t>
            </w:r>
            <w:r w:rsidRPr="00C16896">
              <w:rPr>
                <w:rFonts w:asciiTheme="minorHAnsi" w:eastAsiaTheme="minorHAnsi" w:hAnsiTheme="minorHAnsi" w:cstheme="minorBidi"/>
                <w:b/>
                <w:bCs/>
                <w:kern w:val="2"/>
                <w:sz w:val="24"/>
                <w:szCs w:val="24"/>
                <w:lang w:val="es-CO" w:eastAsia="en-US"/>
                <w14:ligatures w14:val="standardContextual"/>
              </w:rPr>
              <w:t xml:space="preserve">no conformidad del numeral 4.3. </w:t>
            </w:r>
          </w:p>
          <w:p w14:paraId="3CFDC3DF"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6E5017B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lastRenderedPageBreak/>
              <w:t>El alcance del sistema ha sido sustentado a lo largo del ciclo de la certificación del sistema de Gestión de Seguridad y Privacidad de la Información SGSPI.</w:t>
            </w:r>
          </w:p>
          <w:p w14:paraId="2A414331"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24BB78D5"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noProof/>
                <w:kern w:val="2"/>
                <w:sz w:val="24"/>
                <w:szCs w:val="24"/>
                <w:lang w:val="es-CO" w:eastAsia="en-US"/>
                <w14:ligatures w14:val="standardContextual"/>
              </w:rPr>
              <w:drawing>
                <wp:inline distT="0" distB="0" distL="0" distR="0" wp14:anchorId="7A98CA8E" wp14:editId="6D6E4373">
                  <wp:extent cx="2258582" cy="2088108"/>
                  <wp:effectExtent l="0" t="0" r="8890" b="7620"/>
                  <wp:docPr id="1974706755" name="Imagen 1974706755"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706755" name="Imagen 1974706755" descr="Texto&#10;&#10;El contenido generado por IA puede ser incorrecto."/>
                          <pic:cNvPicPr/>
                        </pic:nvPicPr>
                        <pic:blipFill>
                          <a:blip r:embed="rId7"/>
                          <a:stretch>
                            <a:fillRect/>
                          </a:stretch>
                        </pic:blipFill>
                        <pic:spPr>
                          <a:xfrm>
                            <a:off x="0" y="0"/>
                            <a:ext cx="2315549" cy="2140775"/>
                          </a:xfrm>
                          <a:prstGeom prst="rect">
                            <a:avLst/>
                          </a:prstGeom>
                        </pic:spPr>
                      </pic:pic>
                    </a:graphicData>
                  </a:graphic>
                </wp:inline>
              </w:drawing>
            </w:r>
          </w:p>
          <w:p w14:paraId="4717488A"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tc>
      </w:tr>
    </w:tbl>
    <w:p w14:paraId="27DCEC05" w14:textId="77777777" w:rsid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272CCD86"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615755BB" w14:textId="77777777" w:rsidR="00C16896" w:rsidRDefault="00C16896" w:rsidP="00C16896">
      <w:pPr>
        <w:numPr>
          <w:ilvl w:val="0"/>
          <w:numId w:val="9"/>
        </w:numPr>
        <w:suppressAutoHyphens w:val="0"/>
        <w:rPr>
          <w:rFonts w:asciiTheme="minorHAnsi" w:eastAsiaTheme="minorHAnsi" w:hAnsiTheme="minorHAnsi" w:cstheme="minorBidi"/>
          <w:b/>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 xml:space="preserve">Controversia No Conformidad (2) </w:t>
      </w:r>
    </w:p>
    <w:p w14:paraId="1C8D6911" w14:textId="77777777" w:rsidR="00C16896" w:rsidRP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tbl>
      <w:tblPr>
        <w:tblStyle w:val="Tablaconcuadrcula"/>
        <w:tblW w:w="8931"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677"/>
        <w:gridCol w:w="4254"/>
      </w:tblGrid>
      <w:tr w:rsidR="00C16896" w:rsidRPr="00C16896" w14:paraId="7491783B" w14:textId="77777777" w:rsidTr="00AE7B08">
        <w:trPr>
          <w:tblCellSpacing w:w="20" w:type="dxa"/>
          <w:jc w:val="center"/>
        </w:trPr>
        <w:tc>
          <w:tcPr>
            <w:tcW w:w="4617" w:type="dxa"/>
            <w:shd w:val="clear" w:color="auto" w:fill="BFBFBF" w:themeFill="background1" w:themeFillShade="BF"/>
            <w:vAlign w:val="center"/>
          </w:tcPr>
          <w:p w14:paraId="6E80BF92"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Numeral norma: 8.2</w:t>
            </w:r>
          </w:p>
        </w:tc>
        <w:tc>
          <w:tcPr>
            <w:tcW w:w="4194" w:type="dxa"/>
            <w:shd w:val="clear" w:color="auto" w:fill="BFBFBF" w:themeFill="background1" w:themeFillShade="BF"/>
            <w:vAlign w:val="center"/>
          </w:tcPr>
          <w:p w14:paraId="5C423FAB"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Resultado: NC</w:t>
            </w:r>
          </w:p>
        </w:tc>
      </w:tr>
      <w:tr w:rsidR="00C16896" w:rsidRPr="00C16896" w14:paraId="2340B860" w14:textId="77777777" w:rsidTr="00AE7B08">
        <w:trPr>
          <w:tblCellSpacing w:w="20" w:type="dxa"/>
          <w:jc w:val="center"/>
        </w:trPr>
        <w:tc>
          <w:tcPr>
            <w:tcW w:w="8851" w:type="dxa"/>
            <w:gridSpan w:val="2"/>
            <w:shd w:val="clear" w:color="auto" w:fill="BFBFBF" w:themeFill="background1" w:themeFillShade="BF"/>
            <w:vAlign w:val="center"/>
          </w:tcPr>
          <w:p w14:paraId="0BBE6BF8"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 xml:space="preserve">Descripción del Resultado del Informe de Auditoría </w:t>
            </w:r>
          </w:p>
        </w:tc>
      </w:tr>
      <w:tr w:rsidR="00C16896" w:rsidRPr="00C16896" w14:paraId="3A673BA1" w14:textId="77777777" w:rsidTr="00AE7B08">
        <w:trPr>
          <w:tblCellSpacing w:w="20" w:type="dxa"/>
          <w:jc w:val="center"/>
        </w:trPr>
        <w:tc>
          <w:tcPr>
            <w:tcW w:w="8851" w:type="dxa"/>
            <w:gridSpan w:val="2"/>
            <w:shd w:val="clear" w:color="auto" w:fill="FFFFFF" w:themeFill="background1"/>
            <w:vAlign w:val="center"/>
          </w:tcPr>
          <w:p w14:paraId="04EE05F5"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8.2: Se evidencia que la organización ha establecido la realización de evaluaciones de riesgos de seguridad de la información ante cambios significativos; sin embargo, no conserva información documentada de los resultados de dichas evaluaciones, incumpliendo lo establecido en el numeral 8.2 de la norma ISO/IEC 27001.</w:t>
            </w:r>
          </w:p>
        </w:tc>
      </w:tr>
      <w:tr w:rsidR="00C16896" w:rsidRPr="00C16896" w14:paraId="0C1DE33C" w14:textId="77777777" w:rsidTr="00AE7B08">
        <w:trPr>
          <w:tblCellSpacing w:w="20" w:type="dxa"/>
          <w:jc w:val="center"/>
        </w:trPr>
        <w:tc>
          <w:tcPr>
            <w:tcW w:w="8851" w:type="dxa"/>
            <w:gridSpan w:val="2"/>
            <w:shd w:val="clear" w:color="auto" w:fill="BFBFBF" w:themeFill="background1" w:themeFillShade="BF"/>
            <w:vAlign w:val="center"/>
          </w:tcPr>
          <w:p w14:paraId="25676F19"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Descripción de la controversia</w:t>
            </w:r>
          </w:p>
        </w:tc>
      </w:tr>
      <w:tr w:rsidR="00C16896" w:rsidRPr="00C16896" w14:paraId="4DFF5349" w14:textId="77777777" w:rsidTr="00AE7B08">
        <w:trPr>
          <w:tblCellSpacing w:w="20" w:type="dxa"/>
          <w:jc w:val="center"/>
        </w:trPr>
        <w:tc>
          <w:tcPr>
            <w:tcW w:w="8851" w:type="dxa"/>
            <w:gridSpan w:val="2"/>
            <w:vAlign w:val="center"/>
          </w:tcPr>
          <w:p w14:paraId="71A31D68"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Justificación: la evaluación de los riesgos se sustenta dentro de la matriz de riesgos, evaluándolos en criterios de PROBABILIDAD E IMPACTO. Su evaluación se da a partir de la identificación de los activos identificando su nivel de criticidad, y la evaluación de los riesgos de seguridad determinado mediante la matriz adjunta, así mismo se da en el seguimiento y tratamiento que se la da a los riesgos de seguridad y Privacidad de la Información.</w:t>
            </w:r>
          </w:p>
          <w:p w14:paraId="19AC09DB"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7802DFC3"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lastRenderedPageBreak/>
              <w:t xml:space="preserve">El SGSPI cuenta con establecimiento de la metodología para la evaluación de los riesgos de seguridad de la información mediante: </w:t>
            </w:r>
          </w:p>
          <w:p w14:paraId="214F2770" w14:textId="77777777" w:rsidR="00C16896" w:rsidRPr="00C16896" w:rsidRDefault="00C16896" w:rsidP="00C16896">
            <w:pPr>
              <w:numPr>
                <w:ilvl w:val="0"/>
                <w:numId w:val="5"/>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Documento: A-OT-125_V1 Lineamiento metodológico de gestión de activos de información y de riesgos de seguridad de la información </w:t>
            </w:r>
          </w:p>
          <w:p w14:paraId="74A8C73B" w14:textId="77777777" w:rsidR="00C16896" w:rsidRPr="00C16896" w:rsidRDefault="00C16896" w:rsidP="00C16896">
            <w:pPr>
              <w:numPr>
                <w:ilvl w:val="0"/>
                <w:numId w:val="5"/>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El mapa de activos, riesgos y controles mediante el documento: A-FO-272 - Inventario de activos de información y gestión de riesgos de seguridad de la información, en donde su actualización se planifica y se establece en: Código A-OT-101- PLAN DE SPI (ver marco de acción). </w:t>
            </w:r>
          </w:p>
          <w:p w14:paraId="09F01095"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59B8D834" w14:textId="5EC6879C"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La gestión de activos, riesgos y controles presentó una reciente actualización que finalizó en diciembre de 2025 tal como se planeó, por el cual se está procesando la evaluación de riesgos y que a la fecha de la práctica de la auditoría se cuenta con diferentes reportes de esta gestión, como se enuncian y evidencian: </w:t>
            </w:r>
          </w:p>
          <w:p w14:paraId="234B25F3"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14FB93B4" w14:textId="77777777" w:rsidR="00C16896" w:rsidRPr="00C16896" w:rsidRDefault="00C16896" w:rsidP="00C16896">
            <w:pPr>
              <w:numPr>
                <w:ilvl w:val="0"/>
                <w:numId w:val="4"/>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3 - INFORME RIESGOS DAF-GTI-44 v1.pdf</w:t>
            </w:r>
          </w:p>
          <w:p w14:paraId="125E0B41" w14:textId="77777777" w:rsidR="00C16896" w:rsidRPr="00C16896" w:rsidRDefault="00C16896" w:rsidP="00C16896">
            <w:pPr>
              <w:numPr>
                <w:ilvl w:val="0"/>
                <w:numId w:val="4"/>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4 - INFORME RIESGOS DOCI-ISCI-12.pdf</w:t>
            </w:r>
          </w:p>
          <w:p w14:paraId="3CE26C31" w14:textId="77777777" w:rsidR="00C16896" w:rsidRPr="00C16896" w:rsidRDefault="00C16896" w:rsidP="00C16896">
            <w:pPr>
              <w:numPr>
                <w:ilvl w:val="0"/>
                <w:numId w:val="4"/>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Seguimiento Ier trimestre 2025 (2)</w:t>
            </w:r>
          </w:p>
          <w:p w14:paraId="555D7AC0"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7E3B079D" w14:textId="27C56C9E"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En este sentido, el evento de encontrase en proceso la evaluación de riesgos no es mérito para la No Conformidad, por cuanto la actividad está en los tiempos de ejecución como se planeó y documentó, así mismo, esta actividad se hace cada año y se cuenta con los reportes de la vigencia 2024 y por lo cual se controvierte esta no conformidad. </w:t>
            </w:r>
          </w:p>
          <w:p w14:paraId="39A01982"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tc>
      </w:tr>
    </w:tbl>
    <w:p w14:paraId="572B0729" w14:textId="77777777" w:rsid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6ECBA34E" w14:textId="1544D256" w:rsidR="00C16896" w:rsidRDefault="00C16896">
      <w:pPr>
        <w:rPr>
          <w:rFonts w:asciiTheme="minorHAnsi" w:eastAsiaTheme="minorHAnsi" w:hAnsiTheme="minorHAnsi" w:cstheme="minorBidi"/>
          <w:kern w:val="2"/>
          <w:sz w:val="24"/>
          <w:szCs w:val="24"/>
          <w:lang w:val="es-CO" w:eastAsia="en-US"/>
          <w14:ligatures w14:val="standardContextual"/>
        </w:rPr>
      </w:pPr>
      <w:r>
        <w:rPr>
          <w:rFonts w:asciiTheme="minorHAnsi" w:eastAsiaTheme="minorHAnsi" w:hAnsiTheme="minorHAnsi" w:cstheme="minorBidi"/>
          <w:kern w:val="2"/>
          <w:sz w:val="24"/>
          <w:szCs w:val="24"/>
          <w:lang w:val="es-CO" w:eastAsia="en-US"/>
          <w14:ligatures w14:val="standardContextual"/>
        </w:rPr>
        <w:br w:type="page"/>
      </w:r>
    </w:p>
    <w:p w14:paraId="0C45EF68"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28BEA276" w14:textId="77777777" w:rsidR="00C16896" w:rsidRPr="00C16896" w:rsidRDefault="00C16896" w:rsidP="00C16896">
      <w:pPr>
        <w:numPr>
          <w:ilvl w:val="0"/>
          <w:numId w:val="9"/>
        </w:numPr>
        <w:suppressAutoHyphens w:val="0"/>
        <w:rPr>
          <w:rFonts w:asciiTheme="minorHAnsi" w:eastAsiaTheme="minorHAnsi" w:hAnsiTheme="minorHAnsi" w:cstheme="minorBidi"/>
          <w:b/>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 xml:space="preserve">Controversia No Conformidad (3) </w:t>
      </w:r>
    </w:p>
    <w:p w14:paraId="346B584B" w14:textId="77777777" w:rsidR="00C16896" w:rsidRP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tbl>
      <w:tblPr>
        <w:tblStyle w:val="Tablaconcuadrcula"/>
        <w:tblW w:w="8931"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677"/>
        <w:gridCol w:w="4254"/>
      </w:tblGrid>
      <w:tr w:rsidR="00C16896" w:rsidRPr="00C16896" w14:paraId="4E2304F3" w14:textId="77777777" w:rsidTr="00AE7B08">
        <w:trPr>
          <w:tblCellSpacing w:w="20" w:type="dxa"/>
          <w:jc w:val="center"/>
        </w:trPr>
        <w:tc>
          <w:tcPr>
            <w:tcW w:w="4617" w:type="dxa"/>
            <w:shd w:val="clear" w:color="auto" w:fill="BFBFBF" w:themeFill="background1" w:themeFillShade="BF"/>
            <w:vAlign w:val="center"/>
          </w:tcPr>
          <w:p w14:paraId="1526FD68"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Numeral norma: A.5.9</w:t>
            </w:r>
          </w:p>
        </w:tc>
        <w:tc>
          <w:tcPr>
            <w:tcW w:w="4194" w:type="dxa"/>
            <w:shd w:val="clear" w:color="auto" w:fill="BFBFBF" w:themeFill="background1" w:themeFillShade="BF"/>
            <w:vAlign w:val="center"/>
          </w:tcPr>
          <w:p w14:paraId="13D42F30"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Resultado: NC</w:t>
            </w:r>
          </w:p>
        </w:tc>
      </w:tr>
      <w:tr w:rsidR="00C16896" w:rsidRPr="00C16896" w14:paraId="7DC2EE93" w14:textId="77777777" w:rsidTr="00AE7B08">
        <w:trPr>
          <w:tblCellSpacing w:w="20" w:type="dxa"/>
          <w:jc w:val="center"/>
        </w:trPr>
        <w:tc>
          <w:tcPr>
            <w:tcW w:w="8851" w:type="dxa"/>
            <w:gridSpan w:val="2"/>
            <w:shd w:val="clear" w:color="auto" w:fill="BFBFBF" w:themeFill="background1" w:themeFillShade="BF"/>
            <w:vAlign w:val="center"/>
          </w:tcPr>
          <w:p w14:paraId="3081C72E"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 xml:space="preserve">Descripción del Resultado del Informe de Auditoría </w:t>
            </w:r>
          </w:p>
        </w:tc>
      </w:tr>
      <w:tr w:rsidR="00C16896" w:rsidRPr="00C16896" w14:paraId="35F6153A" w14:textId="77777777" w:rsidTr="00AE7B08">
        <w:trPr>
          <w:tblCellSpacing w:w="20" w:type="dxa"/>
          <w:jc w:val="center"/>
        </w:trPr>
        <w:tc>
          <w:tcPr>
            <w:tcW w:w="8851" w:type="dxa"/>
            <w:gridSpan w:val="2"/>
            <w:shd w:val="clear" w:color="auto" w:fill="FFFFFF" w:themeFill="background1"/>
            <w:vAlign w:val="center"/>
          </w:tcPr>
          <w:p w14:paraId="3A476674"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Se evidencia que los activos de información no se encuentran correctamente clasificados conforme a los lineamientos establecidos por la entidad. El inventario de activos presenta inconsistencias entre el tipo de activo y la clasificación asignada, así como clasificaciones genéricas o desactualizadas, lo que dificulta la correcta identificación del nivel de protección requerido para cada activo.</w:t>
            </w:r>
          </w:p>
          <w:p w14:paraId="60323D17"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025E8A1B"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Evidencia: Inventario de activos con clasificaciones incompletas o no acordes al uso real del activo. </w:t>
            </w:r>
          </w:p>
          <w:p w14:paraId="7FE4CCC0"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Ausencia de aplicación homogénea de los criterios definidos para la clasificación de activos.</w:t>
            </w:r>
          </w:p>
          <w:p w14:paraId="078FE2A2"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Activos relevantes clasificados de manera similar a activos de menor impacto.</w:t>
            </w:r>
          </w:p>
        </w:tc>
      </w:tr>
      <w:tr w:rsidR="00C16896" w:rsidRPr="00C16896" w14:paraId="5B057D83" w14:textId="77777777" w:rsidTr="00AE7B08">
        <w:trPr>
          <w:tblCellSpacing w:w="20" w:type="dxa"/>
          <w:jc w:val="center"/>
        </w:trPr>
        <w:tc>
          <w:tcPr>
            <w:tcW w:w="8851" w:type="dxa"/>
            <w:gridSpan w:val="2"/>
            <w:shd w:val="clear" w:color="auto" w:fill="BFBFBF" w:themeFill="background1" w:themeFillShade="BF"/>
            <w:vAlign w:val="center"/>
          </w:tcPr>
          <w:p w14:paraId="3C992AA3"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Descripción de la controversia</w:t>
            </w:r>
          </w:p>
        </w:tc>
      </w:tr>
      <w:tr w:rsidR="00C16896" w:rsidRPr="00C16896" w14:paraId="2C6A6A9B" w14:textId="77777777" w:rsidTr="00AE7B08">
        <w:trPr>
          <w:tblCellSpacing w:w="20" w:type="dxa"/>
          <w:jc w:val="center"/>
        </w:trPr>
        <w:tc>
          <w:tcPr>
            <w:tcW w:w="8851" w:type="dxa"/>
            <w:gridSpan w:val="2"/>
            <w:vAlign w:val="center"/>
          </w:tcPr>
          <w:p w14:paraId="7CAD03AC"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El SGSPI cuenta con diferentes clasificaciones de sus activos de información de acuerdo con el alcance y la necesidad institucional. </w:t>
            </w:r>
          </w:p>
          <w:p w14:paraId="1472CBB5"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12FD99BA"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Estas clasificaciones se encuentran debidamente documentadas en: </w:t>
            </w:r>
          </w:p>
          <w:p w14:paraId="25FF262D"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a. A-OT-125 Lineamiento metodológico de gestión de activos de información y de riesgos de seguridad de la información y su clasificación se encuentra en el consolidado </w:t>
            </w:r>
          </w:p>
          <w:p w14:paraId="48684944"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b. A-FO-272 Inventario de activos de información y gestión de riesgos de seguridad de la información.</w:t>
            </w:r>
          </w:p>
          <w:p w14:paraId="63CF8307"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2AE28EC4"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Estas clasificaciones se encuentran adoptadas y adaptadas conforme a: </w:t>
            </w:r>
          </w:p>
          <w:p w14:paraId="508BCC45" w14:textId="62EA9372" w:rsidR="00C16896" w:rsidRPr="00C16896" w:rsidRDefault="00C16896" w:rsidP="00C16896">
            <w:pPr>
              <w:numPr>
                <w:ilvl w:val="0"/>
                <w:numId w:val="6"/>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Lineamientos para la gestión de riesgos de seguridad digital en entidades públicas, 2018</w:t>
            </w:r>
            <w:r w:rsidR="00B5143D">
              <w:rPr>
                <w:rFonts w:asciiTheme="minorHAnsi" w:eastAsiaTheme="minorHAnsi" w:hAnsiTheme="minorHAnsi" w:cstheme="minorBidi"/>
                <w:bCs/>
                <w:kern w:val="2"/>
                <w:sz w:val="24"/>
                <w:szCs w:val="24"/>
                <w:lang w:val="es-CO" w:eastAsia="en-US"/>
                <w14:ligatures w14:val="standardContextual"/>
              </w:rPr>
              <w:t xml:space="preserve"> Mintic.</w:t>
            </w:r>
          </w:p>
          <w:p w14:paraId="1E284F75" w14:textId="77777777" w:rsidR="00C16896" w:rsidRPr="00C16896" w:rsidRDefault="00C16896" w:rsidP="00C16896">
            <w:pPr>
              <w:numPr>
                <w:ilvl w:val="0"/>
                <w:numId w:val="6"/>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Guía para la gestión y clasificación de activos de información, Versión 5, 2016 MINTIC</w:t>
            </w:r>
          </w:p>
          <w:p w14:paraId="0B7CED8F" w14:textId="77777777" w:rsidR="00C16896" w:rsidRPr="00C16896" w:rsidRDefault="00C16896" w:rsidP="00C16896">
            <w:pPr>
              <w:numPr>
                <w:ilvl w:val="0"/>
                <w:numId w:val="6"/>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Clasificación de la información según Ley 1712 de 2014</w:t>
            </w:r>
          </w:p>
          <w:p w14:paraId="52B24750" w14:textId="77777777" w:rsidR="00C16896" w:rsidRPr="00C16896" w:rsidRDefault="00C16896" w:rsidP="00C16896">
            <w:pPr>
              <w:numPr>
                <w:ilvl w:val="0"/>
                <w:numId w:val="6"/>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lastRenderedPageBreak/>
              <w:t xml:space="preserve">Tipos de datos personales sujetos de protección de datos personales (ley 1581 de 2012) </w:t>
            </w:r>
          </w:p>
          <w:p w14:paraId="1C66A307"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28890AA7"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El mapa de inventario de activos de información se encuentra debidamente actualizado y presentado a la auditoría por lo cual no encontramos congruente la descripción de la No conformidad. </w:t>
            </w:r>
          </w:p>
        </w:tc>
      </w:tr>
    </w:tbl>
    <w:p w14:paraId="09889028"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570F0BD2" w14:textId="77777777" w:rsidR="00C16896" w:rsidRPr="00C16896" w:rsidRDefault="00C16896" w:rsidP="00C16896">
      <w:pPr>
        <w:numPr>
          <w:ilvl w:val="0"/>
          <w:numId w:val="9"/>
        </w:numPr>
        <w:suppressAutoHyphens w:val="0"/>
        <w:rPr>
          <w:rFonts w:asciiTheme="minorHAnsi" w:eastAsiaTheme="minorHAnsi" w:hAnsiTheme="minorHAnsi" w:cstheme="minorBidi"/>
          <w:b/>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 xml:space="preserve">Controversia No Conformidad (4) </w:t>
      </w:r>
    </w:p>
    <w:tbl>
      <w:tblPr>
        <w:tblStyle w:val="Tablaconcuadrcula"/>
        <w:tblW w:w="8931"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677"/>
        <w:gridCol w:w="4254"/>
      </w:tblGrid>
      <w:tr w:rsidR="00C16896" w:rsidRPr="00C16896" w14:paraId="32BCE034" w14:textId="77777777" w:rsidTr="00AE7B08">
        <w:trPr>
          <w:tblCellSpacing w:w="20" w:type="dxa"/>
          <w:jc w:val="center"/>
        </w:trPr>
        <w:tc>
          <w:tcPr>
            <w:tcW w:w="4617" w:type="dxa"/>
            <w:shd w:val="clear" w:color="auto" w:fill="BFBFBF" w:themeFill="background1" w:themeFillShade="BF"/>
            <w:vAlign w:val="center"/>
          </w:tcPr>
          <w:p w14:paraId="77456774"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Numeral norma: A.5.36</w:t>
            </w:r>
          </w:p>
        </w:tc>
        <w:tc>
          <w:tcPr>
            <w:tcW w:w="4194" w:type="dxa"/>
            <w:shd w:val="clear" w:color="auto" w:fill="BFBFBF" w:themeFill="background1" w:themeFillShade="BF"/>
            <w:vAlign w:val="center"/>
          </w:tcPr>
          <w:p w14:paraId="3C9ECA1F"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Resultado: NC</w:t>
            </w:r>
          </w:p>
        </w:tc>
      </w:tr>
      <w:tr w:rsidR="00C16896" w:rsidRPr="00C16896" w14:paraId="676A8599" w14:textId="77777777" w:rsidTr="00AE7B08">
        <w:trPr>
          <w:tblCellSpacing w:w="20" w:type="dxa"/>
          <w:jc w:val="center"/>
        </w:trPr>
        <w:tc>
          <w:tcPr>
            <w:tcW w:w="8851" w:type="dxa"/>
            <w:gridSpan w:val="2"/>
            <w:shd w:val="clear" w:color="auto" w:fill="BFBFBF" w:themeFill="background1" w:themeFillShade="BF"/>
            <w:vAlign w:val="center"/>
          </w:tcPr>
          <w:p w14:paraId="12F1F5AC"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 xml:space="preserve">Descripción del Resultado del Informe de Auditoría </w:t>
            </w:r>
          </w:p>
        </w:tc>
      </w:tr>
      <w:tr w:rsidR="00C16896" w:rsidRPr="00C16896" w14:paraId="6D6FF95A" w14:textId="77777777" w:rsidTr="00AE7B08">
        <w:trPr>
          <w:tblCellSpacing w:w="20" w:type="dxa"/>
          <w:jc w:val="center"/>
        </w:trPr>
        <w:tc>
          <w:tcPr>
            <w:tcW w:w="8851" w:type="dxa"/>
            <w:gridSpan w:val="2"/>
            <w:shd w:val="clear" w:color="auto" w:fill="FFFFFF" w:themeFill="background1"/>
            <w:vAlign w:val="center"/>
          </w:tcPr>
          <w:p w14:paraId="7C942EAC"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No se evidencia la realización de revisiones periódicas al cumplimiento de la Política de Seguridad de la Información, las políticas específicas, las reglas y los estándares definidos por la organización. Así mismo, no se cuenta con documentos, registros o informes que demuestren la ejecución de este control, ni con evidencia de su seguimiento.</w:t>
            </w:r>
          </w:p>
          <w:p w14:paraId="5BCF727F"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Evidencia:</w:t>
            </w:r>
          </w:p>
          <w:p w14:paraId="40684F46"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Ausencia de actas, informes, matriz o registros de revisión del cumplimiento de las políticas de seguridad de la información.</w:t>
            </w:r>
          </w:p>
          <w:p w14:paraId="7CB601CC"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No se identifica un procedimiento, ni política documentada ni responsables definidos para la realización de dichas revisiones.</w:t>
            </w:r>
          </w:p>
        </w:tc>
      </w:tr>
      <w:tr w:rsidR="00C16896" w:rsidRPr="00C16896" w14:paraId="3BF3CFFB" w14:textId="77777777" w:rsidTr="00AE7B08">
        <w:trPr>
          <w:tblCellSpacing w:w="20" w:type="dxa"/>
          <w:jc w:val="center"/>
        </w:trPr>
        <w:tc>
          <w:tcPr>
            <w:tcW w:w="8851" w:type="dxa"/>
            <w:gridSpan w:val="2"/>
            <w:shd w:val="clear" w:color="auto" w:fill="BFBFBF" w:themeFill="background1" w:themeFillShade="BF"/>
            <w:vAlign w:val="center"/>
          </w:tcPr>
          <w:p w14:paraId="7BBDD07A"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Descripción de la controversia</w:t>
            </w:r>
          </w:p>
        </w:tc>
      </w:tr>
      <w:tr w:rsidR="00C16896" w:rsidRPr="00C16896" w14:paraId="70F4584F" w14:textId="77777777" w:rsidTr="00AE7B08">
        <w:trPr>
          <w:tblCellSpacing w:w="20" w:type="dxa"/>
          <w:jc w:val="center"/>
        </w:trPr>
        <w:tc>
          <w:tcPr>
            <w:tcW w:w="8851" w:type="dxa"/>
            <w:gridSpan w:val="2"/>
            <w:vAlign w:val="center"/>
          </w:tcPr>
          <w:p w14:paraId="137EAD2C"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El SGSPI cuenta con revisiones periódicas y documentadas mediante actas adjuntas y a su vez se especifica en el documento. </w:t>
            </w:r>
          </w:p>
          <w:p w14:paraId="7DC6346B"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w:t>
            </w:r>
            <w:r w:rsidRPr="00C16896">
              <w:rPr>
                <w:rFonts w:asciiTheme="minorHAnsi" w:eastAsiaTheme="minorHAnsi" w:hAnsiTheme="minorHAnsi" w:cstheme="minorBidi"/>
                <w:bCs/>
                <w:kern w:val="2"/>
                <w:sz w:val="24"/>
                <w:szCs w:val="24"/>
                <w:lang w:val="es-CO" w:eastAsia="en-US"/>
                <w14:ligatures w14:val="standardContextual"/>
              </w:rPr>
              <w:tab/>
              <w:t xml:space="preserve">A-OT-011 POLITICA DE SEGURIDAD Y PRIVACIDAD DE LA INFORMACIÓN </w:t>
            </w:r>
          </w:p>
          <w:p w14:paraId="37D5D8FE"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w:t>
            </w:r>
            <w:r w:rsidRPr="00C16896">
              <w:rPr>
                <w:rFonts w:asciiTheme="minorHAnsi" w:eastAsiaTheme="minorHAnsi" w:hAnsiTheme="minorHAnsi" w:cstheme="minorBidi"/>
                <w:bCs/>
                <w:kern w:val="2"/>
                <w:sz w:val="24"/>
                <w:szCs w:val="24"/>
                <w:lang w:val="es-CO" w:eastAsia="en-US"/>
                <w14:ligatures w14:val="standardContextual"/>
              </w:rPr>
              <w:tab/>
              <w:t>A-OT-100 Versión 5 Políticas específicas del sistema de gestión de seguridad y privacidad de la información.</w:t>
            </w:r>
          </w:p>
          <w:p w14:paraId="21F26650"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6B4BBCF6"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A continuación, se presentan las evidencias de documentación de esta gestión: </w:t>
            </w:r>
          </w:p>
          <w:p w14:paraId="539D2885"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4F285999" w14:textId="77777777" w:rsidR="00C16896" w:rsidRPr="00C16896" w:rsidRDefault="00C16896" w:rsidP="00C16896">
            <w:pPr>
              <w:numPr>
                <w:ilvl w:val="0"/>
                <w:numId w:val="7"/>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Acta Seguimiento Gestion TI_1004</w:t>
            </w:r>
          </w:p>
          <w:p w14:paraId="5A020FE8" w14:textId="77777777" w:rsidR="00C16896" w:rsidRPr="00C16896" w:rsidRDefault="00C16896" w:rsidP="00C16896">
            <w:pPr>
              <w:numPr>
                <w:ilvl w:val="0"/>
                <w:numId w:val="7"/>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Acta Seguimiento Gestion TI_1303</w:t>
            </w:r>
          </w:p>
          <w:p w14:paraId="1C292282" w14:textId="77777777" w:rsidR="00C16896" w:rsidRPr="00C16896" w:rsidRDefault="00C16896" w:rsidP="00C16896">
            <w:pPr>
              <w:numPr>
                <w:ilvl w:val="0"/>
                <w:numId w:val="7"/>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Acta Seguimiento Gestion TI_1405</w:t>
            </w:r>
          </w:p>
          <w:p w14:paraId="711D85ED" w14:textId="77777777" w:rsidR="00C16896" w:rsidRPr="00C16896" w:rsidRDefault="00C16896" w:rsidP="00C16896">
            <w:pPr>
              <w:numPr>
                <w:ilvl w:val="0"/>
                <w:numId w:val="7"/>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Acta Seguimiento Gestion TI_2504</w:t>
            </w:r>
          </w:p>
          <w:p w14:paraId="14A7D7DA" w14:textId="77777777" w:rsidR="00C16896" w:rsidRPr="00C16896" w:rsidRDefault="00C16896" w:rsidP="00C16896">
            <w:pPr>
              <w:numPr>
                <w:ilvl w:val="0"/>
                <w:numId w:val="7"/>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lastRenderedPageBreak/>
              <w:t>Acta Seguimiento Gestion TI_2702</w:t>
            </w:r>
          </w:p>
          <w:p w14:paraId="06107854" w14:textId="77777777" w:rsidR="00C16896" w:rsidRPr="00C16896" w:rsidRDefault="00C16896" w:rsidP="00C16896">
            <w:pPr>
              <w:numPr>
                <w:ilvl w:val="0"/>
                <w:numId w:val="7"/>
              </w:num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Acta de Seguimiento Gestion TI_2509</w:t>
            </w:r>
          </w:p>
          <w:p w14:paraId="40E4CF7C"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24F89EE4"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Durante la práctica de auditoría se pudo interpretar erróneamente la solicitud de estas actas que posiblemente no fueron presentadas, no obstante, la gestión de revisión periódica si se realiza de manera planificada y constante. </w:t>
            </w:r>
          </w:p>
        </w:tc>
      </w:tr>
    </w:tbl>
    <w:p w14:paraId="68ECB37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p>
    <w:p w14:paraId="34F8549F" w14:textId="77777777" w:rsidR="00C16896" w:rsidRP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p w14:paraId="35D336EC" w14:textId="77777777" w:rsidR="00C16896" w:rsidRPr="00C16896" w:rsidRDefault="00C16896" w:rsidP="00C16896">
      <w:pPr>
        <w:numPr>
          <w:ilvl w:val="0"/>
          <w:numId w:val="9"/>
        </w:numPr>
        <w:suppressAutoHyphens w:val="0"/>
        <w:rPr>
          <w:rFonts w:asciiTheme="minorHAnsi" w:eastAsiaTheme="minorHAnsi" w:hAnsiTheme="minorHAnsi" w:cstheme="minorBidi"/>
          <w:b/>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 xml:space="preserve">Controversia No Conformidad (5) </w:t>
      </w:r>
    </w:p>
    <w:tbl>
      <w:tblPr>
        <w:tblStyle w:val="Tablaconcuadrcula"/>
        <w:tblW w:w="8931" w:type="dxa"/>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4677"/>
        <w:gridCol w:w="4254"/>
      </w:tblGrid>
      <w:tr w:rsidR="00C16896" w:rsidRPr="00C16896" w14:paraId="6625C201" w14:textId="77777777" w:rsidTr="00AE7B08">
        <w:trPr>
          <w:tblCellSpacing w:w="20" w:type="dxa"/>
          <w:jc w:val="center"/>
        </w:trPr>
        <w:tc>
          <w:tcPr>
            <w:tcW w:w="4617" w:type="dxa"/>
            <w:shd w:val="clear" w:color="auto" w:fill="BFBFBF" w:themeFill="background1" w:themeFillShade="BF"/>
            <w:vAlign w:val="center"/>
          </w:tcPr>
          <w:p w14:paraId="02EEC970"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kern w:val="2"/>
                <w:sz w:val="24"/>
                <w:szCs w:val="24"/>
                <w:lang w:val="es-CO" w:eastAsia="en-US"/>
                <w14:ligatures w14:val="standardContextual"/>
              </w:rPr>
              <w:t>Numeral norma: 10.2</w:t>
            </w:r>
          </w:p>
        </w:tc>
        <w:tc>
          <w:tcPr>
            <w:tcW w:w="4194" w:type="dxa"/>
            <w:shd w:val="clear" w:color="auto" w:fill="BFBFBF" w:themeFill="background1" w:themeFillShade="BF"/>
            <w:vAlign w:val="center"/>
          </w:tcPr>
          <w:p w14:paraId="1DB28F07"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Resultado: NCM</w:t>
            </w:r>
          </w:p>
        </w:tc>
      </w:tr>
      <w:tr w:rsidR="00C16896" w:rsidRPr="00C16896" w14:paraId="32C8FF3B" w14:textId="77777777" w:rsidTr="00AE7B08">
        <w:trPr>
          <w:tblCellSpacing w:w="20" w:type="dxa"/>
          <w:jc w:val="center"/>
        </w:trPr>
        <w:tc>
          <w:tcPr>
            <w:tcW w:w="8851" w:type="dxa"/>
            <w:gridSpan w:val="2"/>
            <w:shd w:val="clear" w:color="auto" w:fill="BFBFBF" w:themeFill="background1" w:themeFillShade="BF"/>
            <w:vAlign w:val="center"/>
          </w:tcPr>
          <w:p w14:paraId="519095A0"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 xml:space="preserve">Descripción del Resultado del Informe de Auditoría </w:t>
            </w:r>
          </w:p>
        </w:tc>
      </w:tr>
      <w:tr w:rsidR="00C16896" w:rsidRPr="00C16896" w14:paraId="17BADA32" w14:textId="77777777" w:rsidTr="00AE7B08">
        <w:trPr>
          <w:tblCellSpacing w:w="20" w:type="dxa"/>
          <w:jc w:val="center"/>
        </w:trPr>
        <w:tc>
          <w:tcPr>
            <w:tcW w:w="8851" w:type="dxa"/>
            <w:gridSpan w:val="2"/>
            <w:shd w:val="clear" w:color="auto" w:fill="FFFFFF" w:themeFill="background1"/>
            <w:vAlign w:val="center"/>
          </w:tcPr>
          <w:p w14:paraId="63F447AF"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Durante la auditoría se solicitó evidencia objetiva relacionada con la implementación, seguimiento y verificación de eficacia de las </w:t>
            </w:r>
            <w:r w:rsidRPr="00C16896">
              <w:rPr>
                <w:rFonts w:asciiTheme="minorHAnsi" w:eastAsiaTheme="minorHAnsi" w:hAnsiTheme="minorHAnsi" w:cstheme="minorBidi"/>
                <w:b/>
                <w:bCs/>
                <w:kern w:val="2"/>
                <w:sz w:val="24"/>
                <w:szCs w:val="24"/>
                <w:lang w:val="es-CO" w:eastAsia="en-US"/>
                <w14:ligatures w14:val="standardContextual"/>
              </w:rPr>
              <w:t>acciones correctivas y oportunidades de mejora (ACOM)</w:t>
            </w:r>
            <w:r w:rsidRPr="00C16896">
              <w:rPr>
                <w:rFonts w:asciiTheme="minorHAnsi" w:eastAsiaTheme="minorHAnsi" w:hAnsiTheme="minorHAnsi" w:cstheme="minorBidi"/>
                <w:kern w:val="2"/>
                <w:sz w:val="24"/>
                <w:szCs w:val="24"/>
                <w:lang w:val="es-CO" w:eastAsia="en-US"/>
                <w14:ligatures w14:val="standardContextual"/>
              </w:rPr>
              <w:t xml:space="preserve"> definidas como resultado de la auditoría anterior. Sin embargo, </w:t>
            </w:r>
            <w:r w:rsidRPr="00C16896">
              <w:rPr>
                <w:rFonts w:asciiTheme="minorHAnsi" w:eastAsiaTheme="minorHAnsi" w:hAnsiTheme="minorHAnsi" w:cstheme="minorBidi"/>
                <w:b/>
                <w:bCs/>
                <w:kern w:val="2"/>
                <w:sz w:val="24"/>
                <w:szCs w:val="24"/>
                <w:lang w:val="es-CO" w:eastAsia="en-US"/>
                <w14:ligatures w14:val="standardContextual"/>
              </w:rPr>
              <w:t>la organización no presentó evidencia que demuestre que dichas acciones hayan sido gestionadas</w:t>
            </w:r>
            <w:r w:rsidRPr="00C16896">
              <w:rPr>
                <w:rFonts w:asciiTheme="minorHAnsi" w:eastAsiaTheme="minorHAnsi" w:hAnsiTheme="minorHAnsi" w:cstheme="minorBidi"/>
                <w:kern w:val="2"/>
                <w:sz w:val="24"/>
                <w:szCs w:val="24"/>
                <w:lang w:val="es-CO" w:eastAsia="en-US"/>
                <w14:ligatures w14:val="standardContextual"/>
              </w:rPr>
              <w:t xml:space="preserve">, observándose que </w:t>
            </w:r>
            <w:r w:rsidRPr="00C16896">
              <w:rPr>
                <w:rFonts w:asciiTheme="minorHAnsi" w:eastAsiaTheme="minorHAnsi" w:hAnsiTheme="minorHAnsi" w:cstheme="minorBidi"/>
                <w:b/>
                <w:bCs/>
                <w:kern w:val="2"/>
                <w:sz w:val="24"/>
                <w:szCs w:val="24"/>
                <w:lang w:val="es-CO" w:eastAsia="en-US"/>
                <w14:ligatures w14:val="standardContextual"/>
              </w:rPr>
              <w:t>no se realizó ninguna actividad de análisis, planificación, implementación, seguimiento ni evaluación de eficacia</w:t>
            </w:r>
            <w:r w:rsidRPr="00C16896">
              <w:rPr>
                <w:rFonts w:asciiTheme="minorHAnsi" w:eastAsiaTheme="minorHAnsi" w:hAnsiTheme="minorHAnsi" w:cstheme="minorBidi"/>
                <w:kern w:val="2"/>
                <w:sz w:val="24"/>
                <w:szCs w:val="24"/>
                <w:lang w:val="es-CO" w:eastAsia="en-US"/>
                <w14:ligatures w14:val="standardContextual"/>
              </w:rPr>
              <w:t xml:space="preserve"> sobre las ACOM previamente establecidas.</w:t>
            </w:r>
          </w:p>
          <w:p w14:paraId="2D6EE8D4"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La ausencia total de gestión de las ACOM evidencia una </w:t>
            </w:r>
            <w:r w:rsidRPr="00C16896">
              <w:rPr>
                <w:rFonts w:asciiTheme="minorHAnsi" w:eastAsiaTheme="minorHAnsi" w:hAnsiTheme="minorHAnsi" w:cstheme="minorBidi"/>
                <w:b/>
                <w:bCs/>
                <w:kern w:val="2"/>
                <w:sz w:val="24"/>
                <w:szCs w:val="24"/>
                <w:lang w:val="es-CO" w:eastAsia="en-US"/>
                <w14:ligatures w14:val="standardContextual"/>
              </w:rPr>
              <w:t>falla sistémica en el proceso de mejora continua</w:t>
            </w:r>
            <w:r w:rsidRPr="00C16896">
              <w:rPr>
                <w:rFonts w:asciiTheme="minorHAnsi" w:eastAsiaTheme="minorHAnsi" w:hAnsiTheme="minorHAnsi" w:cstheme="minorBidi"/>
                <w:kern w:val="2"/>
                <w:sz w:val="24"/>
                <w:szCs w:val="24"/>
                <w:lang w:val="es-CO" w:eastAsia="en-US"/>
                <w14:ligatures w14:val="standardContextual"/>
              </w:rPr>
              <w:t>, así como el incumplimiento de los mecanismos establecidos para asegurar la corrección de no conformidades y la prevención de su recurrencia. Esta situación compromete la eficacia del sistema de gestión, dado que los hallazgos identificados en la auditoría anterior permanecen sin tratamiento y continúan representando riesgos para el logro de los objetivos del sistema.</w:t>
            </w:r>
          </w:p>
          <w:p w14:paraId="12E6E835"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Adicionalmente, la falta de seguimiento a las ACOM demuestra que la organización </w:t>
            </w:r>
            <w:r w:rsidRPr="00C16896">
              <w:rPr>
                <w:rFonts w:asciiTheme="minorHAnsi" w:eastAsiaTheme="minorHAnsi" w:hAnsiTheme="minorHAnsi" w:cstheme="minorBidi"/>
                <w:b/>
                <w:bCs/>
                <w:kern w:val="2"/>
                <w:sz w:val="24"/>
                <w:szCs w:val="24"/>
                <w:lang w:val="es-CO" w:eastAsia="en-US"/>
                <w14:ligatures w14:val="standardContextual"/>
              </w:rPr>
              <w:t>no asegura la continuidad ni la madurez del sistema de gestión</w:t>
            </w:r>
            <w:r w:rsidRPr="00C16896">
              <w:rPr>
                <w:rFonts w:asciiTheme="minorHAnsi" w:eastAsiaTheme="minorHAnsi" w:hAnsiTheme="minorHAnsi" w:cstheme="minorBidi"/>
                <w:kern w:val="2"/>
                <w:sz w:val="24"/>
                <w:szCs w:val="24"/>
                <w:lang w:val="es-CO" w:eastAsia="en-US"/>
                <w14:ligatures w14:val="standardContextual"/>
              </w:rPr>
              <w:t>, ni la adecuada toma de acciones frente a desviaciones previamente identificadas, lo cual contraviene los requisitos normativos aplicables.</w:t>
            </w:r>
          </w:p>
          <w:p w14:paraId="3F66EEE7"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t>Justificación de la clasificación como No Conformidad MAYOR:</w:t>
            </w:r>
          </w:p>
          <w:p w14:paraId="6AE7EFDA" w14:textId="77777777" w:rsidR="00C16896" w:rsidRPr="00C16896" w:rsidRDefault="00C16896" w:rsidP="00C16896">
            <w:p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La presente no conformidad se clasifica como </w:t>
            </w:r>
            <w:r w:rsidRPr="00C16896">
              <w:rPr>
                <w:rFonts w:asciiTheme="minorHAnsi" w:eastAsiaTheme="minorHAnsi" w:hAnsiTheme="minorHAnsi" w:cstheme="minorBidi"/>
                <w:b/>
                <w:bCs/>
                <w:kern w:val="2"/>
                <w:sz w:val="24"/>
                <w:szCs w:val="24"/>
                <w:lang w:val="es-CO" w:eastAsia="en-US"/>
                <w14:ligatures w14:val="standardContextual"/>
              </w:rPr>
              <w:t>MAYOR</w:t>
            </w:r>
            <w:r w:rsidRPr="00C16896">
              <w:rPr>
                <w:rFonts w:asciiTheme="minorHAnsi" w:eastAsiaTheme="minorHAnsi" w:hAnsiTheme="minorHAnsi" w:cstheme="minorBidi"/>
                <w:kern w:val="2"/>
                <w:sz w:val="24"/>
                <w:szCs w:val="24"/>
                <w:lang w:val="es-CO" w:eastAsia="en-US"/>
                <w14:ligatures w14:val="standardContextual"/>
              </w:rPr>
              <w:t>, debido a que:</w:t>
            </w:r>
          </w:p>
          <w:p w14:paraId="5EE97987" w14:textId="77777777" w:rsidR="00C16896" w:rsidRPr="00C16896" w:rsidRDefault="00C16896" w:rsidP="00C16896">
            <w:pPr>
              <w:numPr>
                <w:ilvl w:val="0"/>
                <w:numId w:val="8"/>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Existe una </w:t>
            </w:r>
            <w:r w:rsidRPr="00C16896">
              <w:rPr>
                <w:rFonts w:asciiTheme="minorHAnsi" w:eastAsiaTheme="minorHAnsi" w:hAnsiTheme="minorHAnsi" w:cstheme="minorBidi"/>
                <w:b/>
                <w:bCs/>
                <w:kern w:val="2"/>
                <w:sz w:val="24"/>
                <w:szCs w:val="24"/>
                <w:lang w:val="es-CO" w:eastAsia="en-US"/>
                <w14:ligatures w14:val="standardContextual"/>
              </w:rPr>
              <w:t>reincidencia</w:t>
            </w:r>
            <w:r w:rsidRPr="00C16896">
              <w:rPr>
                <w:rFonts w:asciiTheme="minorHAnsi" w:eastAsiaTheme="minorHAnsi" w:hAnsiTheme="minorHAnsi" w:cstheme="minorBidi"/>
                <w:kern w:val="2"/>
                <w:sz w:val="24"/>
                <w:szCs w:val="24"/>
                <w:lang w:val="es-CO" w:eastAsia="en-US"/>
                <w14:ligatures w14:val="standardContextual"/>
              </w:rPr>
              <w:t xml:space="preserve"> al no atender hallazgos de auditoría anteriores.</w:t>
            </w:r>
          </w:p>
          <w:p w14:paraId="3DE80948" w14:textId="77777777" w:rsidR="00C16896" w:rsidRPr="00C16896" w:rsidRDefault="00C16896" w:rsidP="00C16896">
            <w:pPr>
              <w:numPr>
                <w:ilvl w:val="0"/>
                <w:numId w:val="8"/>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t xml:space="preserve">No se evidenció </w:t>
            </w:r>
            <w:r w:rsidRPr="00C16896">
              <w:rPr>
                <w:rFonts w:asciiTheme="minorHAnsi" w:eastAsiaTheme="minorHAnsi" w:hAnsiTheme="minorHAnsi" w:cstheme="minorBidi"/>
                <w:b/>
                <w:bCs/>
                <w:kern w:val="2"/>
                <w:sz w:val="24"/>
                <w:szCs w:val="24"/>
                <w:lang w:val="es-CO" w:eastAsia="en-US"/>
                <w14:ligatures w14:val="standardContextual"/>
              </w:rPr>
              <w:t>ningún avance ni gestión</w:t>
            </w:r>
            <w:r w:rsidRPr="00C16896">
              <w:rPr>
                <w:rFonts w:asciiTheme="minorHAnsi" w:eastAsiaTheme="minorHAnsi" w:hAnsiTheme="minorHAnsi" w:cstheme="minorBidi"/>
                <w:kern w:val="2"/>
                <w:sz w:val="24"/>
                <w:szCs w:val="24"/>
                <w:lang w:val="es-CO" w:eastAsia="en-US"/>
                <w14:ligatures w14:val="standardContextual"/>
              </w:rPr>
              <w:t xml:space="preserve"> de las acciones correctivas definidas.</w:t>
            </w:r>
          </w:p>
          <w:p w14:paraId="09B8F5D0" w14:textId="77777777" w:rsidR="00C16896" w:rsidRPr="00C16896" w:rsidRDefault="00C16896" w:rsidP="00C16896">
            <w:pPr>
              <w:numPr>
                <w:ilvl w:val="0"/>
                <w:numId w:val="8"/>
              </w:numPr>
              <w:suppressAutoHyphens w:val="0"/>
              <w:rPr>
                <w:rFonts w:asciiTheme="minorHAnsi" w:eastAsiaTheme="minorHAnsi" w:hAnsiTheme="minorHAnsi" w:cstheme="minorBidi"/>
                <w:kern w:val="2"/>
                <w:sz w:val="24"/>
                <w:szCs w:val="24"/>
                <w:lang w:val="es-CO" w:eastAsia="en-US"/>
                <w14:ligatures w14:val="standardContextual"/>
              </w:rPr>
            </w:pPr>
            <w:r w:rsidRPr="00C16896">
              <w:rPr>
                <w:rFonts w:asciiTheme="minorHAnsi" w:eastAsiaTheme="minorHAnsi" w:hAnsiTheme="minorHAnsi" w:cstheme="minorBidi"/>
                <w:kern w:val="2"/>
                <w:sz w:val="24"/>
                <w:szCs w:val="24"/>
                <w:lang w:val="es-CO" w:eastAsia="en-US"/>
                <w14:ligatures w14:val="standardContextual"/>
              </w:rPr>
              <w:lastRenderedPageBreak/>
              <w:t xml:space="preserve">Se identifica una </w:t>
            </w:r>
            <w:r w:rsidRPr="00C16896">
              <w:rPr>
                <w:rFonts w:asciiTheme="minorHAnsi" w:eastAsiaTheme="minorHAnsi" w:hAnsiTheme="minorHAnsi" w:cstheme="minorBidi"/>
                <w:b/>
                <w:bCs/>
                <w:kern w:val="2"/>
                <w:sz w:val="24"/>
                <w:szCs w:val="24"/>
                <w:lang w:val="es-CO" w:eastAsia="en-US"/>
                <w14:ligatures w14:val="standardContextual"/>
              </w:rPr>
              <w:t>falla generalizada del sistema de gestión</w:t>
            </w:r>
            <w:r w:rsidRPr="00C16896">
              <w:rPr>
                <w:rFonts w:asciiTheme="minorHAnsi" w:eastAsiaTheme="minorHAnsi" w:hAnsiTheme="minorHAnsi" w:cstheme="minorBidi"/>
                <w:kern w:val="2"/>
                <w:sz w:val="24"/>
                <w:szCs w:val="24"/>
                <w:lang w:val="es-CO" w:eastAsia="en-US"/>
                <w14:ligatures w14:val="standardContextual"/>
              </w:rPr>
              <w:t>, afectando el proceso de mejora continua y el cumplimiento sostenido de la norma.</w:t>
            </w:r>
          </w:p>
        </w:tc>
      </w:tr>
      <w:tr w:rsidR="00C16896" w:rsidRPr="00C16896" w14:paraId="2EF79341" w14:textId="77777777" w:rsidTr="00AE7B08">
        <w:trPr>
          <w:tblCellSpacing w:w="20" w:type="dxa"/>
          <w:jc w:val="center"/>
        </w:trPr>
        <w:tc>
          <w:tcPr>
            <w:tcW w:w="8851" w:type="dxa"/>
            <w:gridSpan w:val="2"/>
            <w:shd w:val="clear" w:color="auto" w:fill="BFBFBF" w:themeFill="background1" w:themeFillShade="BF"/>
            <w:vAlign w:val="center"/>
          </w:tcPr>
          <w:p w14:paraId="76517B64" w14:textId="77777777" w:rsidR="00C16896" w:rsidRPr="00C16896" w:rsidRDefault="00C16896" w:rsidP="00C16896">
            <w:pPr>
              <w:suppressAutoHyphens w:val="0"/>
              <w:rPr>
                <w:rFonts w:asciiTheme="minorHAnsi" w:eastAsiaTheme="minorHAnsi" w:hAnsiTheme="minorHAnsi" w:cstheme="minorBidi"/>
                <w:b/>
                <w:bCs/>
                <w:kern w:val="2"/>
                <w:sz w:val="24"/>
                <w:szCs w:val="24"/>
                <w:lang w:val="es-CO" w:eastAsia="en-US"/>
                <w14:ligatures w14:val="standardContextual"/>
              </w:rPr>
            </w:pPr>
            <w:r w:rsidRPr="00C16896">
              <w:rPr>
                <w:rFonts w:asciiTheme="minorHAnsi" w:eastAsiaTheme="minorHAnsi" w:hAnsiTheme="minorHAnsi" w:cstheme="minorBidi"/>
                <w:b/>
                <w:bCs/>
                <w:kern w:val="2"/>
                <w:sz w:val="24"/>
                <w:szCs w:val="24"/>
                <w:lang w:val="es-CO" w:eastAsia="en-US"/>
                <w14:ligatures w14:val="standardContextual"/>
              </w:rPr>
              <w:lastRenderedPageBreak/>
              <w:t>Descripción de la controversia</w:t>
            </w:r>
          </w:p>
        </w:tc>
      </w:tr>
      <w:tr w:rsidR="00C16896" w:rsidRPr="00C16896" w14:paraId="24157228" w14:textId="77777777" w:rsidTr="00AE7B08">
        <w:trPr>
          <w:tblCellSpacing w:w="20" w:type="dxa"/>
          <w:jc w:val="center"/>
        </w:trPr>
        <w:tc>
          <w:tcPr>
            <w:tcW w:w="8851" w:type="dxa"/>
            <w:gridSpan w:val="2"/>
            <w:vAlign w:val="center"/>
          </w:tcPr>
          <w:p w14:paraId="3ECAE7EA" w14:textId="77777777" w:rsid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El SGSPI cuenta con un seguimiento a cada</w:t>
            </w:r>
            <w:r w:rsidRPr="00C16896">
              <w:rPr>
                <w:rFonts w:asciiTheme="minorHAnsi" w:eastAsiaTheme="minorHAnsi" w:hAnsiTheme="minorHAnsi" w:cstheme="minorBidi"/>
                <w:kern w:val="2"/>
                <w:sz w:val="24"/>
                <w:szCs w:val="24"/>
                <w:lang w:val="es-CO" w:eastAsia="en-US"/>
                <w14:ligatures w14:val="standardContextual"/>
              </w:rPr>
              <w:t xml:space="preserve"> </w:t>
            </w:r>
            <w:r w:rsidRPr="00C16896">
              <w:rPr>
                <w:rFonts w:asciiTheme="minorHAnsi" w:eastAsiaTheme="minorHAnsi" w:hAnsiTheme="minorHAnsi" w:cstheme="minorBidi"/>
                <w:bCs/>
                <w:kern w:val="2"/>
                <w:sz w:val="24"/>
                <w:szCs w:val="24"/>
                <w:lang w:val="es-CO" w:eastAsia="en-US"/>
                <w14:ligatures w14:val="standardContextual"/>
              </w:rPr>
              <w:t>acción correctiva y oportunidades de mejora que resulta de los diferentes ejercicios de auditorías practicadas al sistema.</w:t>
            </w:r>
          </w:p>
          <w:p w14:paraId="6AD8FC0D" w14:textId="71FE2B2A"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 </w:t>
            </w:r>
          </w:p>
          <w:p w14:paraId="214A7DF4"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Esta gestión de seguimiento se documenta en una matriz denominada: “SEGUIMIENTO A LOS PLANES DE MEJORAMIENTO SGSPI_ISO27001 2022 v2”, que se encuentra pendiente de controlar en el SGI. </w:t>
            </w:r>
          </w:p>
          <w:p w14:paraId="08F2911D" w14:textId="77777777" w:rsid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41CEBD9A" w14:textId="2B238A28"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Como evidencia para justificar la controversia a la No Conformidad Mayor, se tiene que en este instrumento se documenta la trazabilidad de la gestión de los planes de acción desde la vigencia 2023, 2024 y 2025 siendo consecuente con</w:t>
            </w:r>
            <w:r>
              <w:rPr>
                <w:rFonts w:asciiTheme="minorHAnsi" w:eastAsiaTheme="minorHAnsi" w:hAnsiTheme="minorHAnsi" w:cstheme="minorBidi"/>
                <w:bCs/>
                <w:kern w:val="2"/>
                <w:sz w:val="24"/>
                <w:szCs w:val="24"/>
                <w:lang w:val="es-CO" w:eastAsia="en-US"/>
                <w14:ligatures w14:val="standardContextual"/>
              </w:rPr>
              <w:t xml:space="preserve"> la operación del SGSPI y su</w:t>
            </w:r>
            <w:r w:rsidRPr="00C16896">
              <w:rPr>
                <w:rFonts w:asciiTheme="minorHAnsi" w:eastAsiaTheme="minorHAnsi" w:hAnsiTheme="minorHAnsi" w:cstheme="minorBidi"/>
                <w:bCs/>
                <w:kern w:val="2"/>
                <w:sz w:val="24"/>
                <w:szCs w:val="24"/>
                <w:lang w:val="es-CO" w:eastAsia="en-US"/>
                <w14:ligatures w14:val="standardContextual"/>
              </w:rPr>
              <w:t xml:space="preserve"> ciclo de certificación</w:t>
            </w:r>
            <w:r>
              <w:rPr>
                <w:rFonts w:asciiTheme="minorHAnsi" w:eastAsiaTheme="minorHAnsi" w:hAnsiTheme="minorHAnsi" w:cstheme="minorBidi"/>
                <w:bCs/>
                <w:kern w:val="2"/>
                <w:sz w:val="24"/>
                <w:szCs w:val="24"/>
                <w:lang w:val="es-CO" w:eastAsia="en-US"/>
                <w14:ligatures w14:val="standardContextual"/>
              </w:rPr>
              <w:t xml:space="preserve"> en el estándar ISO IEC 27001:2022.</w:t>
            </w:r>
            <w:r w:rsidRPr="00C16896">
              <w:rPr>
                <w:rFonts w:asciiTheme="minorHAnsi" w:eastAsiaTheme="minorHAnsi" w:hAnsiTheme="minorHAnsi" w:cstheme="minorBidi"/>
                <w:bCs/>
                <w:kern w:val="2"/>
                <w:sz w:val="24"/>
                <w:szCs w:val="24"/>
                <w:lang w:val="es-CO" w:eastAsia="en-US"/>
                <w14:ligatures w14:val="standardContextual"/>
              </w:rPr>
              <w:t xml:space="preserve"> </w:t>
            </w:r>
          </w:p>
          <w:p w14:paraId="334C8D1F"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1ACE9F61" w14:textId="49F9B123"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Esta matriz relaciona la clasificación del hallazgo, correcciones, plan de acción, responsables, fecha de inicio y fin, estado y seguimiento</w:t>
            </w:r>
            <w:r>
              <w:rPr>
                <w:rFonts w:asciiTheme="minorHAnsi" w:eastAsiaTheme="minorHAnsi" w:hAnsiTheme="minorHAnsi" w:cstheme="minorBidi"/>
                <w:bCs/>
                <w:kern w:val="2"/>
                <w:sz w:val="24"/>
                <w:szCs w:val="24"/>
                <w:lang w:val="es-CO" w:eastAsia="en-US"/>
                <w14:ligatures w14:val="standardContextual"/>
              </w:rPr>
              <w:t>, entre otros</w:t>
            </w:r>
            <w:r w:rsidRPr="00C16896">
              <w:rPr>
                <w:rFonts w:asciiTheme="minorHAnsi" w:eastAsiaTheme="minorHAnsi" w:hAnsiTheme="minorHAnsi" w:cstheme="minorBidi"/>
                <w:bCs/>
                <w:kern w:val="2"/>
                <w:sz w:val="24"/>
                <w:szCs w:val="24"/>
                <w:lang w:val="es-CO" w:eastAsia="en-US"/>
                <w14:ligatures w14:val="standardContextual"/>
              </w:rPr>
              <w:t>. Así mismo, este instrumento permite documentar la eficacia y efectividad de cada ítem</w:t>
            </w:r>
            <w:r>
              <w:rPr>
                <w:rFonts w:asciiTheme="minorHAnsi" w:eastAsiaTheme="minorHAnsi" w:hAnsiTheme="minorHAnsi" w:cstheme="minorBidi"/>
                <w:bCs/>
                <w:kern w:val="2"/>
                <w:sz w:val="24"/>
                <w:szCs w:val="24"/>
                <w:lang w:val="es-CO" w:eastAsia="en-US"/>
                <w14:ligatures w14:val="standardContextual"/>
              </w:rPr>
              <w:t>, y el seguimiento hasta el cierre.</w:t>
            </w:r>
            <w:r w:rsidRPr="00C16896">
              <w:rPr>
                <w:rFonts w:asciiTheme="minorHAnsi" w:eastAsiaTheme="minorHAnsi" w:hAnsiTheme="minorHAnsi" w:cstheme="minorBidi"/>
                <w:bCs/>
                <w:kern w:val="2"/>
                <w:sz w:val="24"/>
                <w:szCs w:val="24"/>
                <w:lang w:val="es-CO" w:eastAsia="en-US"/>
                <w14:ligatures w14:val="standardContextual"/>
              </w:rPr>
              <w:t xml:space="preserve"> </w:t>
            </w:r>
          </w:p>
          <w:p w14:paraId="03C4F9CC"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36AFCB5F"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Si bien, esta gestión presenta una oportunidad de mejora de controlarse con codificación en el SGI, no debe determinarse que no se realiza la gestión de </w:t>
            </w:r>
            <w:r w:rsidRPr="00C16896">
              <w:rPr>
                <w:rFonts w:asciiTheme="minorHAnsi" w:eastAsiaTheme="minorHAnsi" w:hAnsiTheme="minorHAnsi" w:cstheme="minorBidi"/>
                <w:b/>
                <w:kern w:val="2"/>
                <w:sz w:val="24"/>
                <w:szCs w:val="24"/>
                <w:lang w:val="es-CO" w:eastAsia="en-US"/>
                <w14:ligatures w14:val="standardContextual"/>
              </w:rPr>
              <w:t xml:space="preserve">las acciones correctivas y oportunidades de mejora (ACOM), </w:t>
            </w:r>
            <w:r w:rsidRPr="00C16896">
              <w:rPr>
                <w:rFonts w:asciiTheme="minorHAnsi" w:eastAsiaTheme="minorHAnsi" w:hAnsiTheme="minorHAnsi" w:cstheme="minorBidi"/>
                <w:bCs/>
                <w:kern w:val="2"/>
                <w:sz w:val="24"/>
                <w:szCs w:val="24"/>
                <w:lang w:val="es-CO" w:eastAsia="en-US"/>
                <w14:ligatures w14:val="standardContextual"/>
              </w:rPr>
              <w:t xml:space="preserve">por lo cual se presenta la controversia para su revisión y consideraciones. </w:t>
            </w:r>
          </w:p>
          <w:p w14:paraId="1119C133" w14:textId="77777777" w:rsidR="00C16896" w:rsidRP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p>
        </w:tc>
      </w:tr>
    </w:tbl>
    <w:p w14:paraId="65C93DF3" w14:textId="77777777" w:rsidR="00C16896" w:rsidRP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p w14:paraId="745A6FD0" w14:textId="0B0D6B07" w:rsidR="00C16896" w:rsidRDefault="00C16896">
      <w:pPr>
        <w:rPr>
          <w:rFonts w:asciiTheme="minorHAnsi" w:eastAsiaTheme="minorHAnsi" w:hAnsiTheme="minorHAnsi" w:cstheme="minorBidi"/>
          <w:b/>
          <w:kern w:val="2"/>
          <w:sz w:val="24"/>
          <w:szCs w:val="24"/>
          <w:lang w:val="es-CO" w:eastAsia="en-US"/>
          <w14:ligatures w14:val="standardContextual"/>
        </w:rPr>
      </w:pPr>
      <w:r>
        <w:rPr>
          <w:rFonts w:asciiTheme="minorHAnsi" w:eastAsiaTheme="minorHAnsi" w:hAnsiTheme="minorHAnsi" w:cstheme="minorBidi"/>
          <w:b/>
          <w:kern w:val="2"/>
          <w:sz w:val="24"/>
          <w:szCs w:val="24"/>
          <w:lang w:val="es-CO" w:eastAsia="en-US"/>
          <w14:ligatures w14:val="standardContextual"/>
        </w:rPr>
        <w:br w:type="page"/>
      </w:r>
    </w:p>
    <w:p w14:paraId="1CCFA0D2" w14:textId="77777777" w:rsidR="00C16896" w:rsidRPr="00C16896" w:rsidRDefault="00C16896" w:rsidP="00C16896">
      <w:pPr>
        <w:suppressAutoHyphens w:val="0"/>
        <w:rPr>
          <w:rFonts w:asciiTheme="minorHAnsi" w:eastAsiaTheme="minorHAnsi" w:hAnsiTheme="minorHAnsi" w:cstheme="minorBidi"/>
          <w:b/>
          <w:kern w:val="2"/>
          <w:sz w:val="24"/>
          <w:szCs w:val="24"/>
          <w:lang w:val="es-CO" w:eastAsia="en-US"/>
          <w14:ligatures w14:val="standardContextual"/>
        </w:rPr>
      </w:pPr>
    </w:p>
    <w:p w14:paraId="4C8064EA" w14:textId="7CFDAB43" w:rsidR="00C16896" w:rsidRDefault="00C16896" w:rsidP="00C16896">
      <w:pPr>
        <w:suppressAutoHyphens w:val="0"/>
        <w:rPr>
          <w:rFonts w:asciiTheme="minorHAnsi" w:eastAsiaTheme="minorHAnsi" w:hAnsiTheme="minorHAnsi" w:cstheme="minorBidi"/>
          <w:bCs/>
          <w:kern w:val="2"/>
          <w:sz w:val="24"/>
          <w:szCs w:val="24"/>
          <w:lang w:val="es-CO" w:eastAsia="en-US"/>
          <w14:ligatures w14:val="standardContextual"/>
        </w:rPr>
      </w:pPr>
      <w:r w:rsidRPr="00C16896">
        <w:rPr>
          <w:rFonts w:asciiTheme="minorHAnsi" w:eastAsiaTheme="minorHAnsi" w:hAnsiTheme="minorHAnsi" w:cstheme="minorBidi"/>
          <w:bCs/>
          <w:kern w:val="2"/>
          <w:sz w:val="24"/>
          <w:szCs w:val="24"/>
          <w:lang w:val="es-CO" w:eastAsia="en-US"/>
          <w14:ligatures w14:val="standardContextual"/>
        </w:rPr>
        <w:t xml:space="preserve">En virtud de la anterior, adjunto las evidencias </w:t>
      </w:r>
      <w:r w:rsidR="00D774B9">
        <w:rPr>
          <w:rFonts w:asciiTheme="minorHAnsi" w:eastAsiaTheme="minorHAnsi" w:hAnsiTheme="minorHAnsi" w:cstheme="minorBidi"/>
          <w:bCs/>
          <w:kern w:val="2"/>
          <w:sz w:val="24"/>
          <w:szCs w:val="24"/>
          <w:lang w:val="es-CO" w:eastAsia="en-US"/>
          <w14:ligatures w14:val="standardContextual"/>
        </w:rPr>
        <w:t xml:space="preserve">que soportan la controversia a las cinco no conformidades </w:t>
      </w:r>
      <w:r w:rsidRPr="00C16896">
        <w:rPr>
          <w:rFonts w:asciiTheme="minorHAnsi" w:eastAsiaTheme="minorHAnsi" w:hAnsiTheme="minorHAnsi" w:cstheme="minorBidi"/>
          <w:bCs/>
          <w:kern w:val="2"/>
          <w:sz w:val="24"/>
          <w:szCs w:val="24"/>
          <w:lang w:val="es-CO" w:eastAsia="en-US"/>
          <w14:ligatures w14:val="standardContextual"/>
        </w:rPr>
        <w:t>y solicitamos la revisión</w:t>
      </w:r>
      <w:r w:rsidR="00D774B9">
        <w:rPr>
          <w:rFonts w:asciiTheme="minorHAnsi" w:eastAsiaTheme="minorHAnsi" w:hAnsiTheme="minorHAnsi" w:cstheme="minorBidi"/>
          <w:bCs/>
          <w:kern w:val="2"/>
          <w:sz w:val="24"/>
          <w:szCs w:val="24"/>
          <w:lang w:val="es-CO" w:eastAsia="en-US"/>
          <w14:ligatures w14:val="standardContextual"/>
        </w:rPr>
        <w:t xml:space="preserve"> y evaluación objetiva, así como las </w:t>
      </w:r>
      <w:r w:rsidRPr="00C16896">
        <w:rPr>
          <w:rFonts w:asciiTheme="minorHAnsi" w:eastAsiaTheme="minorHAnsi" w:hAnsiTheme="minorHAnsi" w:cstheme="minorBidi"/>
          <w:bCs/>
          <w:kern w:val="2"/>
          <w:sz w:val="24"/>
          <w:szCs w:val="24"/>
          <w:lang w:val="es-CO" w:eastAsia="en-US"/>
          <w14:ligatures w14:val="standardContextual"/>
        </w:rPr>
        <w:t>consideraciones a las que haya lugar</w:t>
      </w:r>
      <w:r w:rsidR="00D774B9">
        <w:rPr>
          <w:rFonts w:asciiTheme="minorHAnsi" w:eastAsiaTheme="minorHAnsi" w:hAnsiTheme="minorHAnsi" w:cstheme="minorBidi"/>
          <w:bCs/>
          <w:kern w:val="2"/>
          <w:sz w:val="24"/>
          <w:szCs w:val="24"/>
          <w:lang w:val="es-CO" w:eastAsia="en-US"/>
          <w14:ligatures w14:val="standardContextual"/>
        </w:rPr>
        <w:t xml:space="preserve"> que acataremos con rigor para obtener el máximo </w:t>
      </w:r>
      <w:r w:rsidR="009A12A6">
        <w:rPr>
          <w:rFonts w:asciiTheme="minorHAnsi" w:eastAsiaTheme="minorHAnsi" w:hAnsiTheme="minorHAnsi" w:cstheme="minorBidi"/>
          <w:bCs/>
          <w:kern w:val="2"/>
          <w:sz w:val="24"/>
          <w:szCs w:val="24"/>
          <w:lang w:val="es-CO" w:eastAsia="en-US"/>
          <w14:ligatures w14:val="standardContextual"/>
        </w:rPr>
        <w:t xml:space="preserve">aprovechamiento </w:t>
      </w:r>
      <w:r w:rsidR="00D774B9">
        <w:rPr>
          <w:rFonts w:asciiTheme="minorHAnsi" w:eastAsiaTheme="minorHAnsi" w:hAnsiTheme="minorHAnsi" w:cstheme="minorBidi"/>
          <w:bCs/>
          <w:kern w:val="2"/>
          <w:sz w:val="24"/>
          <w:szCs w:val="24"/>
          <w:lang w:val="es-CO" w:eastAsia="en-US"/>
          <w14:ligatures w14:val="standardContextual"/>
        </w:rPr>
        <w:t xml:space="preserve">y oportunidad de </w:t>
      </w:r>
      <w:r w:rsidRPr="00C16896">
        <w:rPr>
          <w:rFonts w:asciiTheme="minorHAnsi" w:eastAsiaTheme="minorHAnsi" w:hAnsiTheme="minorHAnsi" w:cstheme="minorBidi"/>
          <w:bCs/>
          <w:kern w:val="2"/>
          <w:sz w:val="24"/>
          <w:szCs w:val="24"/>
          <w:lang w:val="es-CO" w:eastAsia="en-US"/>
          <w14:ligatures w14:val="standardContextual"/>
        </w:rPr>
        <w:t xml:space="preserve">mejora </w:t>
      </w:r>
      <w:r w:rsidR="009A12A6">
        <w:rPr>
          <w:rFonts w:asciiTheme="minorHAnsi" w:eastAsiaTheme="minorHAnsi" w:hAnsiTheme="minorHAnsi" w:cstheme="minorBidi"/>
          <w:bCs/>
          <w:kern w:val="2"/>
          <w:sz w:val="24"/>
          <w:szCs w:val="24"/>
          <w:lang w:val="es-CO" w:eastAsia="en-US"/>
          <w14:ligatures w14:val="standardContextual"/>
        </w:rPr>
        <w:t xml:space="preserve">y robustecimiento </w:t>
      </w:r>
      <w:r w:rsidRPr="00C16896">
        <w:rPr>
          <w:rFonts w:asciiTheme="minorHAnsi" w:eastAsiaTheme="minorHAnsi" w:hAnsiTheme="minorHAnsi" w:cstheme="minorBidi"/>
          <w:bCs/>
          <w:kern w:val="2"/>
          <w:sz w:val="24"/>
          <w:szCs w:val="24"/>
          <w:lang w:val="es-CO" w:eastAsia="en-US"/>
          <w14:ligatures w14:val="standardContextual"/>
        </w:rPr>
        <w:t xml:space="preserve">de nuestro Sistema de Gestión de Seguridad y Privacidad de la Información (SGSPI). </w:t>
      </w:r>
    </w:p>
    <w:p w14:paraId="36E8149B" w14:textId="77777777" w:rsidR="00D774B9" w:rsidRDefault="00D774B9" w:rsidP="00C16896">
      <w:pPr>
        <w:suppressAutoHyphens w:val="0"/>
        <w:rPr>
          <w:rFonts w:asciiTheme="minorHAnsi" w:eastAsiaTheme="minorHAnsi" w:hAnsiTheme="minorHAnsi" w:cstheme="minorBidi"/>
          <w:bCs/>
          <w:kern w:val="2"/>
          <w:sz w:val="24"/>
          <w:szCs w:val="24"/>
          <w:lang w:val="es-CO" w:eastAsia="en-US"/>
          <w14:ligatures w14:val="standardContextual"/>
        </w:rPr>
      </w:pPr>
    </w:p>
    <w:p w14:paraId="302A469A" w14:textId="007FD6E8" w:rsidR="00D774B9" w:rsidRDefault="00D774B9" w:rsidP="00C16896">
      <w:pPr>
        <w:suppressAutoHyphens w:val="0"/>
        <w:rPr>
          <w:rFonts w:asciiTheme="minorHAnsi" w:eastAsiaTheme="minorHAnsi" w:hAnsiTheme="minorHAnsi" w:cstheme="minorBidi"/>
          <w:bCs/>
          <w:kern w:val="2"/>
          <w:sz w:val="24"/>
          <w:szCs w:val="24"/>
          <w:lang w:val="es-CO" w:eastAsia="en-US"/>
          <w14:ligatures w14:val="standardContextual"/>
        </w:rPr>
      </w:pPr>
      <w:r>
        <w:rPr>
          <w:rFonts w:asciiTheme="minorHAnsi" w:eastAsiaTheme="minorHAnsi" w:hAnsiTheme="minorHAnsi" w:cstheme="minorBidi"/>
          <w:bCs/>
          <w:kern w:val="2"/>
          <w:sz w:val="24"/>
          <w:szCs w:val="24"/>
          <w:lang w:val="es-CO" w:eastAsia="en-US"/>
          <w14:ligatures w14:val="standardContextual"/>
        </w:rPr>
        <w:t xml:space="preserve">Sin otro particular, quedamos atentos de su respuesta e informe final de auditoría. </w:t>
      </w:r>
    </w:p>
    <w:p w14:paraId="21E4F3B0" w14:textId="77777777" w:rsidR="00C16896" w:rsidRDefault="00C16896" w:rsidP="00EB3F0C">
      <w:pPr>
        <w:suppressAutoHyphens w:val="0"/>
        <w:rPr>
          <w:rFonts w:asciiTheme="minorHAnsi" w:eastAsiaTheme="minorHAnsi" w:hAnsiTheme="minorHAnsi" w:cstheme="minorBidi"/>
          <w:kern w:val="2"/>
          <w:sz w:val="24"/>
          <w:szCs w:val="24"/>
          <w:lang w:eastAsia="en-US"/>
          <w14:ligatures w14:val="standardContextual"/>
        </w:rPr>
      </w:pPr>
    </w:p>
    <w:p w14:paraId="0B941C7F" w14:textId="77777777" w:rsidR="00D774B9" w:rsidRPr="00EB3F0C" w:rsidRDefault="00D774B9" w:rsidP="00EB3F0C">
      <w:pPr>
        <w:suppressAutoHyphens w:val="0"/>
        <w:rPr>
          <w:rFonts w:asciiTheme="minorHAnsi" w:eastAsiaTheme="minorHAnsi" w:hAnsiTheme="minorHAnsi" w:cstheme="minorBidi"/>
          <w:kern w:val="2"/>
          <w:sz w:val="24"/>
          <w:szCs w:val="24"/>
          <w:lang w:eastAsia="en-US"/>
          <w14:ligatures w14:val="standardContextual"/>
        </w:rPr>
      </w:pPr>
    </w:p>
    <w:p w14:paraId="226427D6" w14:textId="3BD6E6C0" w:rsidR="00EB3F0C" w:rsidRPr="00EB3F0C" w:rsidRDefault="00EB3F0C" w:rsidP="00EB3F0C">
      <w:pPr>
        <w:suppressAutoHyphens w:val="0"/>
        <w:rPr>
          <w:rFonts w:asciiTheme="minorHAnsi" w:eastAsiaTheme="minorHAnsi" w:hAnsiTheme="minorHAnsi" w:cstheme="minorBidi"/>
          <w:kern w:val="2"/>
          <w:sz w:val="24"/>
          <w:szCs w:val="24"/>
          <w:lang w:eastAsia="en-US"/>
          <w14:ligatures w14:val="standardContextual"/>
        </w:rPr>
      </w:pPr>
      <w:r>
        <w:rPr>
          <w:rFonts w:asciiTheme="minorHAnsi" w:eastAsiaTheme="minorHAnsi" w:hAnsiTheme="minorHAnsi" w:cstheme="minorBidi"/>
          <w:kern w:val="2"/>
          <w:sz w:val="24"/>
          <w:szCs w:val="24"/>
          <w:lang w:eastAsia="en-US"/>
          <w14:ligatures w14:val="standardContextual"/>
        </w:rPr>
        <w:t>Firmado digital,</w:t>
      </w:r>
    </w:p>
    <w:p w14:paraId="30F85A80" w14:textId="77777777" w:rsidR="00EB3F0C" w:rsidRPr="00EB3F0C" w:rsidRDefault="00EB3F0C" w:rsidP="00EB3F0C">
      <w:pPr>
        <w:suppressAutoHyphens w:val="0"/>
        <w:rPr>
          <w:rFonts w:asciiTheme="minorHAnsi" w:eastAsiaTheme="minorHAnsi" w:hAnsiTheme="minorHAnsi" w:cstheme="minorBidi"/>
          <w:kern w:val="2"/>
          <w:sz w:val="24"/>
          <w:szCs w:val="24"/>
          <w:lang w:eastAsia="en-US"/>
          <w14:ligatures w14:val="standardContextual"/>
        </w:rPr>
      </w:pPr>
    </w:p>
    <w:p w14:paraId="42B4AC2E" w14:textId="77777777" w:rsidR="00EB3F0C" w:rsidRDefault="00EB3F0C" w:rsidP="00EB3F0C">
      <w:pPr>
        <w:suppressAutoHyphens w:val="0"/>
        <w:rPr>
          <w:rFonts w:asciiTheme="minorHAnsi" w:eastAsiaTheme="minorHAnsi" w:hAnsiTheme="minorHAnsi" w:cstheme="minorBidi"/>
          <w:kern w:val="2"/>
          <w:sz w:val="24"/>
          <w:szCs w:val="24"/>
          <w:lang w:eastAsia="en-US"/>
          <w14:ligatures w14:val="standardContextual"/>
        </w:rPr>
      </w:pPr>
    </w:p>
    <w:p w14:paraId="14C99F75" w14:textId="77777777" w:rsidR="007A0326" w:rsidRDefault="007A0326" w:rsidP="00EB3F0C">
      <w:pPr>
        <w:suppressAutoHyphens w:val="0"/>
        <w:rPr>
          <w:rFonts w:asciiTheme="minorHAnsi" w:eastAsiaTheme="minorHAnsi" w:hAnsiTheme="minorHAnsi" w:cstheme="minorBidi"/>
          <w:kern w:val="2"/>
          <w:sz w:val="24"/>
          <w:szCs w:val="24"/>
          <w:lang w:eastAsia="en-US"/>
          <w14:ligatures w14:val="standardContextual"/>
        </w:rPr>
      </w:pPr>
    </w:p>
    <w:p w14:paraId="42B7314A" w14:textId="77777777" w:rsidR="007A0326" w:rsidRPr="00EB3F0C" w:rsidRDefault="007A0326" w:rsidP="00EB3F0C">
      <w:pPr>
        <w:suppressAutoHyphens w:val="0"/>
        <w:rPr>
          <w:rFonts w:asciiTheme="minorHAnsi" w:eastAsiaTheme="minorHAnsi" w:hAnsiTheme="minorHAnsi" w:cstheme="minorBidi"/>
          <w:kern w:val="2"/>
          <w:sz w:val="24"/>
          <w:szCs w:val="24"/>
          <w:lang w:eastAsia="en-US"/>
          <w14:ligatures w14:val="standardContextual"/>
        </w:rPr>
      </w:pPr>
    </w:p>
    <w:p w14:paraId="5194062D" w14:textId="77777777" w:rsidR="00C16896" w:rsidRDefault="00C16896" w:rsidP="00EB3F0C">
      <w:pPr>
        <w:suppressAutoHyphens w:val="0"/>
        <w:rPr>
          <w:rFonts w:asciiTheme="minorHAnsi" w:eastAsiaTheme="minorHAnsi" w:hAnsiTheme="minorHAnsi" w:cstheme="minorBidi"/>
          <w:b/>
          <w:bCs/>
          <w:kern w:val="2"/>
          <w:sz w:val="24"/>
          <w:szCs w:val="24"/>
          <w:lang w:eastAsia="en-US"/>
          <w14:ligatures w14:val="standardContextual"/>
        </w:rPr>
      </w:pPr>
    </w:p>
    <w:p w14:paraId="290455A3" w14:textId="2A03664C" w:rsidR="00C16896" w:rsidRDefault="007A0326" w:rsidP="00EB3F0C">
      <w:pPr>
        <w:suppressAutoHyphens w:val="0"/>
        <w:rPr>
          <w:rFonts w:asciiTheme="minorHAnsi" w:eastAsiaTheme="minorHAnsi" w:hAnsiTheme="minorHAnsi" w:cstheme="minorBidi"/>
          <w:b/>
          <w:bCs/>
          <w:kern w:val="2"/>
          <w:sz w:val="24"/>
          <w:szCs w:val="24"/>
          <w:lang w:eastAsia="en-US"/>
          <w14:ligatures w14:val="standardContextual"/>
        </w:rPr>
      </w:pPr>
      <w:r>
        <w:rPr>
          <w:rFonts w:asciiTheme="minorHAnsi" w:eastAsiaTheme="minorHAnsi" w:hAnsiTheme="minorHAnsi" w:cstheme="minorBidi"/>
          <w:b/>
          <w:bCs/>
          <w:kern w:val="2"/>
          <w:sz w:val="24"/>
          <w:szCs w:val="24"/>
          <w:lang w:eastAsia="en-US"/>
          <w14:ligatures w14:val="standardContextual"/>
        </w:rPr>
        <w:t>JAIME GALLEGO</w:t>
      </w:r>
    </w:p>
    <w:p w14:paraId="4A18CC83" w14:textId="77777777" w:rsidR="007A0326" w:rsidRDefault="00EB3F0C" w:rsidP="00EB3F0C">
      <w:pPr>
        <w:suppressAutoHyphens w:val="0"/>
        <w:rPr>
          <w:rFonts w:ascii="Arial" w:hAnsi="Arial" w:cs="Arial"/>
          <w:b/>
          <w:bCs/>
          <w:sz w:val="24"/>
          <w:szCs w:val="24"/>
        </w:rPr>
      </w:pPr>
      <w:r w:rsidRPr="00EB3F0C">
        <w:rPr>
          <w:rFonts w:asciiTheme="minorHAnsi" w:eastAsiaTheme="minorHAnsi" w:hAnsiTheme="minorHAnsi" w:cstheme="minorBidi"/>
          <w:b/>
          <w:bCs/>
          <w:kern w:val="2"/>
          <w:sz w:val="24"/>
          <w:szCs w:val="24"/>
          <w:lang w:eastAsia="en-US"/>
          <w14:ligatures w14:val="standardContextual"/>
        </w:rPr>
        <w:t xml:space="preserve">Profesional </w:t>
      </w:r>
      <w:r w:rsidR="007A0326">
        <w:rPr>
          <w:rFonts w:ascii="Arial" w:hAnsi="Arial" w:cs="Arial"/>
          <w:b/>
          <w:bCs/>
          <w:sz w:val="24"/>
          <w:szCs w:val="24"/>
        </w:rPr>
        <w:t>xxxx</w:t>
      </w:r>
    </w:p>
    <w:p w14:paraId="6163CC08" w14:textId="0FB4F850" w:rsidR="00EB3F0C" w:rsidRPr="00D525E7" w:rsidRDefault="00EB3F0C" w:rsidP="00EB3F0C">
      <w:pPr>
        <w:suppressAutoHyphens w:val="0"/>
        <w:rPr>
          <w:rFonts w:asciiTheme="minorHAnsi" w:eastAsiaTheme="minorHAnsi" w:hAnsiTheme="minorHAnsi" w:cstheme="minorBidi"/>
          <w:b/>
          <w:bCs/>
          <w:kern w:val="2"/>
          <w:sz w:val="24"/>
          <w:szCs w:val="24"/>
          <w:lang w:eastAsia="en-US"/>
          <w14:ligatures w14:val="standardContextual"/>
        </w:rPr>
      </w:pPr>
      <w:r w:rsidRPr="00D525E7">
        <w:rPr>
          <w:rFonts w:ascii="Arial" w:hAnsi="Arial" w:cs="Arial"/>
          <w:b/>
          <w:bCs/>
          <w:sz w:val="24"/>
          <w:szCs w:val="24"/>
        </w:rPr>
        <w:t xml:space="preserve">Dirección </w:t>
      </w:r>
      <w:r w:rsidR="007A0326">
        <w:rPr>
          <w:rFonts w:ascii="Arial" w:hAnsi="Arial" w:cs="Arial"/>
          <w:b/>
          <w:bCs/>
          <w:sz w:val="24"/>
          <w:szCs w:val="24"/>
        </w:rPr>
        <w:t>XXX</w:t>
      </w:r>
    </w:p>
    <w:p w14:paraId="0FA6A0FB" w14:textId="16780408" w:rsidR="00EB3F0C" w:rsidRPr="00D525E7" w:rsidRDefault="00EB3F0C" w:rsidP="00EB3F0C">
      <w:pPr>
        <w:suppressAutoHyphens w:val="0"/>
        <w:rPr>
          <w:rFonts w:asciiTheme="minorHAnsi" w:eastAsiaTheme="minorHAnsi" w:hAnsiTheme="minorHAnsi" w:cstheme="minorBidi"/>
          <w:b/>
          <w:bCs/>
          <w:kern w:val="2"/>
          <w:sz w:val="24"/>
          <w:szCs w:val="24"/>
          <w:lang w:eastAsia="en-US"/>
          <w14:ligatures w14:val="standardContextual"/>
        </w:rPr>
      </w:pPr>
      <w:r w:rsidRPr="00EB3F0C">
        <w:rPr>
          <w:rFonts w:asciiTheme="minorHAnsi" w:eastAsiaTheme="minorHAnsi" w:hAnsiTheme="minorHAnsi" w:cstheme="minorBidi"/>
          <w:b/>
          <w:bCs/>
          <w:kern w:val="2"/>
          <w:sz w:val="24"/>
          <w:szCs w:val="24"/>
          <w:lang w:eastAsia="en-US"/>
          <w14:ligatures w14:val="standardContextual"/>
        </w:rPr>
        <w:t>Supervisor contrato 1</w:t>
      </w:r>
      <w:r w:rsidR="007A0326">
        <w:rPr>
          <w:rFonts w:asciiTheme="minorHAnsi" w:eastAsiaTheme="minorHAnsi" w:hAnsiTheme="minorHAnsi" w:cstheme="minorBidi"/>
          <w:b/>
          <w:bCs/>
          <w:kern w:val="2"/>
          <w:sz w:val="24"/>
          <w:szCs w:val="24"/>
          <w:lang w:eastAsia="en-US"/>
          <w14:ligatures w14:val="standardContextual"/>
        </w:rPr>
        <w:t>71</w:t>
      </w:r>
      <w:r w:rsidRPr="00EB3F0C">
        <w:rPr>
          <w:rFonts w:asciiTheme="minorHAnsi" w:eastAsiaTheme="minorHAnsi" w:hAnsiTheme="minorHAnsi" w:cstheme="minorBidi"/>
          <w:b/>
          <w:bCs/>
          <w:kern w:val="2"/>
          <w:sz w:val="24"/>
          <w:szCs w:val="24"/>
          <w:lang w:eastAsia="en-US"/>
          <w14:ligatures w14:val="standardContextual"/>
        </w:rPr>
        <w:t xml:space="preserve"> de 2025</w:t>
      </w:r>
    </w:p>
    <w:p w14:paraId="0AAEAFD0" w14:textId="77777777" w:rsidR="00EB3F0C" w:rsidRDefault="00EB3F0C" w:rsidP="00EB3F0C">
      <w:pPr>
        <w:suppressAutoHyphens w:val="0"/>
        <w:rPr>
          <w:rFonts w:asciiTheme="minorHAnsi" w:eastAsiaTheme="minorHAnsi" w:hAnsiTheme="minorHAnsi" w:cstheme="minorBidi"/>
          <w:kern w:val="2"/>
          <w:sz w:val="24"/>
          <w:szCs w:val="24"/>
          <w:lang w:eastAsia="en-US"/>
          <w14:ligatures w14:val="standardContextual"/>
        </w:rPr>
      </w:pPr>
    </w:p>
    <w:p w14:paraId="2D235335" w14:textId="5C997DB0" w:rsidR="00EB3F0C" w:rsidRDefault="00EB3F0C" w:rsidP="00EB3F0C">
      <w:pPr>
        <w:suppressAutoHyphens w:val="0"/>
        <w:rPr>
          <w:rFonts w:asciiTheme="minorHAnsi" w:eastAsiaTheme="minorHAnsi" w:hAnsiTheme="minorHAnsi" w:cstheme="minorBidi"/>
          <w:kern w:val="2"/>
          <w:sz w:val="24"/>
          <w:szCs w:val="24"/>
          <w:lang w:eastAsia="en-US"/>
          <w14:ligatures w14:val="standardContextual"/>
        </w:rPr>
      </w:pPr>
      <w:r>
        <w:rPr>
          <w:rFonts w:asciiTheme="minorHAnsi" w:eastAsiaTheme="minorHAnsi" w:hAnsiTheme="minorHAnsi" w:cstheme="minorBidi"/>
          <w:kern w:val="2"/>
          <w:sz w:val="24"/>
          <w:szCs w:val="24"/>
          <w:lang w:eastAsia="en-US"/>
          <w14:ligatures w14:val="standardContextual"/>
        </w:rPr>
        <w:t>Anexo: (</w:t>
      </w:r>
      <w:r w:rsidR="00C16896">
        <w:rPr>
          <w:rFonts w:asciiTheme="minorHAnsi" w:eastAsiaTheme="minorHAnsi" w:hAnsiTheme="minorHAnsi" w:cstheme="minorBidi"/>
          <w:kern w:val="2"/>
          <w:sz w:val="24"/>
          <w:szCs w:val="24"/>
          <w:lang w:eastAsia="en-US"/>
          <w14:ligatures w14:val="standardContextual"/>
        </w:rPr>
        <w:t>varios</w:t>
      </w:r>
      <w:r>
        <w:rPr>
          <w:rFonts w:asciiTheme="minorHAnsi" w:eastAsiaTheme="minorHAnsi" w:hAnsiTheme="minorHAnsi" w:cstheme="minorBidi"/>
          <w:kern w:val="2"/>
          <w:sz w:val="24"/>
          <w:szCs w:val="24"/>
          <w:lang w:eastAsia="en-US"/>
          <w14:ligatures w14:val="standardContextual"/>
        </w:rPr>
        <w:t>)</w:t>
      </w:r>
    </w:p>
    <w:p w14:paraId="74D1DDF9" w14:textId="06188600" w:rsidR="007A0326" w:rsidRPr="007A0326" w:rsidRDefault="007A0326" w:rsidP="00EB3F0C">
      <w:pPr>
        <w:suppressAutoHyphens w:val="0"/>
        <w:rPr>
          <w:rFonts w:asciiTheme="minorHAnsi" w:eastAsiaTheme="minorHAnsi" w:hAnsiTheme="minorHAnsi" w:cstheme="minorBidi"/>
          <w:b/>
          <w:bCs/>
          <w:kern w:val="2"/>
          <w:sz w:val="24"/>
          <w:szCs w:val="24"/>
          <w:lang w:eastAsia="en-US"/>
          <w14:ligatures w14:val="standardContextual"/>
        </w:rPr>
      </w:pPr>
      <w:r>
        <w:rPr>
          <w:rFonts w:asciiTheme="minorHAnsi" w:eastAsiaTheme="minorHAnsi" w:hAnsiTheme="minorHAnsi" w:cstheme="minorBidi"/>
          <w:kern w:val="2"/>
          <w:sz w:val="24"/>
          <w:szCs w:val="24"/>
          <w:lang w:eastAsia="en-US"/>
          <w14:ligatures w14:val="standardContextual"/>
        </w:rPr>
        <w:t>Proyectó:</w:t>
      </w:r>
      <w:r>
        <w:rPr>
          <w:rFonts w:asciiTheme="minorHAnsi" w:eastAsiaTheme="minorHAnsi" w:hAnsiTheme="minorHAnsi" w:cstheme="minorBidi"/>
          <w:kern w:val="2"/>
          <w:sz w:val="24"/>
          <w:szCs w:val="24"/>
          <w:lang w:eastAsia="en-US"/>
          <w14:ligatures w14:val="standardContextual"/>
        </w:rPr>
        <w:tab/>
      </w:r>
      <w:r w:rsidRPr="00EB3F0C">
        <w:rPr>
          <w:rFonts w:asciiTheme="minorHAnsi" w:eastAsiaTheme="minorHAnsi" w:hAnsiTheme="minorHAnsi" w:cstheme="minorBidi"/>
          <w:b/>
          <w:bCs/>
          <w:kern w:val="2"/>
          <w:sz w:val="24"/>
          <w:szCs w:val="24"/>
          <w:lang w:eastAsia="en-US"/>
          <w14:ligatures w14:val="standardContextual"/>
        </w:rPr>
        <w:t>José Héctor Martínez Mina</w:t>
      </w:r>
      <w:r>
        <w:rPr>
          <w:rFonts w:asciiTheme="minorHAnsi" w:eastAsiaTheme="minorHAnsi" w:hAnsiTheme="minorHAnsi" w:cstheme="minorBidi"/>
          <w:b/>
          <w:bCs/>
          <w:kern w:val="2"/>
          <w:sz w:val="24"/>
          <w:szCs w:val="24"/>
          <w:lang w:eastAsia="en-US"/>
          <w14:ligatures w14:val="standardContextual"/>
        </w:rPr>
        <w:t xml:space="preserve"> – Profesional Especailizado Grupo TIC</w:t>
      </w:r>
    </w:p>
    <w:p w14:paraId="1413F950" w14:textId="68E358C8" w:rsidR="00C16896" w:rsidRPr="00C16896" w:rsidRDefault="00C16896" w:rsidP="00EB3F0C">
      <w:pPr>
        <w:suppressAutoHyphens w:val="0"/>
        <w:rPr>
          <w:rFonts w:asciiTheme="minorHAnsi" w:eastAsiaTheme="minorHAnsi" w:hAnsiTheme="minorHAnsi" w:cstheme="minorBidi"/>
          <w:b/>
          <w:bCs/>
          <w:kern w:val="2"/>
          <w:sz w:val="24"/>
          <w:szCs w:val="24"/>
          <w:lang w:eastAsia="en-US"/>
          <w14:ligatures w14:val="standardContextual"/>
        </w:rPr>
      </w:pPr>
      <w:r>
        <w:rPr>
          <w:rFonts w:asciiTheme="minorHAnsi" w:eastAsiaTheme="minorHAnsi" w:hAnsiTheme="minorHAnsi" w:cstheme="minorBidi"/>
          <w:kern w:val="2"/>
          <w:sz w:val="24"/>
          <w:szCs w:val="24"/>
          <w:lang w:eastAsia="en-US"/>
          <w14:ligatures w14:val="standardContextual"/>
        </w:rPr>
        <w:t>Revisó:</w:t>
      </w:r>
      <w:r>
        <w:rPr>
          <w:rFonts w:asciiTheme="minorHAnsi" w:eastAsiaTheme="minorHAnsi" w:hAnsiTheme="minorHAnsi" w:cstheme="minorBidi"/>
          <w:kern w:val="2"/>
          <w:sz w:val="24"/>
          <w:szCs w:val="24"/>
          <w:lang w:eastAsia="en-US"/>
          <w14:ligatures w14:val="standardContextual"/>
        </w:rPr>
        <w:tab/>
      </w:r>
      <w:r>
        <w:rPr>
          <w:rFonts w:asciiTheme="minorHAnsi" w:eastAsiaTheme="minorHAnsi" w:hAnsiTheme="minorHAnsi" w:cstheme="minorBidi"/>
          <w:b/>
          <w:bCs/>
          <w:kern w:val="2"/>
          <w:sz w:val="24"/>
          <w:szCs w:val="24"/>
          <w:lang w:eastAsia="en-US"/>
          <w14:ligatures w14:val="standardContextual"/>
        </w:rPr>
        <w:t>Willy Alexander Vijalba Caballero – Coordinador TIC</w:t>
      </w:r>
    </w:p>
    <w:p w14:paraId="473E5212" w14:textId="720BE39E" w:rsidR="00EB3F0C" w:rsidRPr="00D525E7" w:rsidRDefault="00EB3F0C" w:rsidP="007A0326">
      <w:pPr>
        <w:suppressAutoHyphens w:val="0"/>
        <w:rPr>
          <w:rFonts w:ascii="Arial" w:hAnsi="Arial" w:cs="Arial"/>
          <w:b/>
          <w:bCs/>
          <w:sz w:val="24"/>
          <w:szCs w:val="24"/>
        </w:rPr>
      </w:pPr>
      <w:r>
        <w:rPr>
          <w:rFonts w:asciiTheme="minorHAnsi" w:eastAsiaTheme="minorHAnsi" w:hAnsiTheme="minorHAnsi" w:cstheme="minorBidi"/>
          <w:kern w:val="2"/>
          <w:sz w:val="24"/>
          <w:szCs w:val="24"/>
          <w:lang w:eastAsia="en-US"/>
          <w14:ligatures w14:val="standardContextual"/>
        </w:rPr>
        <w:t xml:space="preserve">Copia: </w:t>
      </w:r>
      <w:r>
        <w:rPr>
          <w:rFonts w:asciiTheme="minorHAnsi" w:eastAsiaTheme="minorHAnsi" w:hAnsiTheme="minorHAnsi" w:cstheme="minorBidi"/>
          <w:kern w:val="2"/>
          <w:sz w:val="24"/>
          <w:szCs w:val="24"/>
          <w:lang w:eastAsia="en-US"/>
          <w14:ligatures w14:val="standardContextual"/>
        </w:rPr>
        <w:tab/>
      </w:r>
      <w:r w:rsidR="00C16896">
        <w:rPr>
          <w:rFonts w:ascii="Arial" w:hAnsi="Arial" w:cs="Arial"/>
          <w:b/>
          <w:bCs/>
          <w:sz w:val="24"/>
          <w:szCs w:val="24"/>
        </w:rPr>
        <w:t xml:space="preserve">Yair Alexander Valderrama Parra </w:t>
      </w:r>
      <w:r w:rsidRPr="00D525E7">
        <w:rPr>
          <w:rFonts w:ascii="Arial" w:hAnsi="Arial" w:cs="Arial"/>
          <w:b/>
          <w:bCs/>
          <w:sz w:val="24"/>
          <w:szCs w:val="24"/>
        </w:rPr>
        <w:t xml:space="preserve">– </w:t>
      </w:r>
      <w:r w:rsidR="00C16896">
        <w:rPr>
          <w:rFonts w:ascii="Arial" w:hAnsi="Arial" w:cs="Arial"/>
          <w:b/>
          <w:bCs/>
          <w:sz w:val="24"/>
          <w:szCs w:val="24"/>
        </w:rPr>
        <w:t>Director Administrativo y Financiero</w:t>
      </w:r>
    </w:p>
    <w:tbl>
      <w:tblPr>
        <w:tblW w:w="9866" w:type="dxa"/>
        <w:tblLayout w:type="fixed"/>
        <w:tblCellMar>
          <w:left w:w="0" w:type="dxa"/>
          <w:right w:w="0" w:type="dxa"/>
        </w:tblCellMar>
        <w:tblLook w:val="04A0" w:firstRow="1" w:lastRow="0" w:firstColumn="1" w:lastColumn="0" w:noHBand="0" w:noVBand="1"/>
      </w:tblPr>
      <w:tblGrid>
        <w:gridCol w:w="1365"/>
        <w:gridCol w:w="8501"/>
      </w:tblGrid>
      <w:tr w:rsidR="00D065E0" w14:paraId="1FF95BB9" w14:textId="77777777">
        <w:tc>
          <w:tcPr>
            <w:tcW w:w="1365" w:type="dxa"/>
            <w:vAlign w:val="center"/>
          </w:tcPr>
          <w:p w14:paraId="6A52E2B0" w14:textId="77777777" w:rsidR="00D065E0" w:rsidRDefault="00764740">
            <w:pPr>
              <w:pStyle w:val="LO-Normal"/>
              <w:tabs>
                <w:tab w:val="left" w:pos="7547"/>
              </w:tabs>
              <w:spacing w:line="300" w:lineRule="atLeast"/>
              <w:ind w:right="57"/>
              <w:rPr>
                <w:rFonts w:ascii="Arial" w:eastAsia="Times New Roman" w:hAnsi="Arial" w:cs="Arial"/>
                <w:color w:val="000000"/>
              </w:rPr>
            </w:pPr>
            <w:r>
              <w:rPr>
                <w:rFonts w:ascii="Arial" w:eastAsia="Times New Roman" w:hAnsi="Arial" w:cs="Arial"/>
                <w:color w:val="000000"/>
              </w:rPr>
              <w:t>Etiquetado:</w:t>
            </w:r>
          </w:p>
        </w:tc>
        <w:tc>
          <w:tcPr>
            <w:tcW w:w="8501" w:type="dxa"/>
            <w:vAlign w:val="center"/>
          </w:tcPr>
          <w:p w14:paraId="08CF57C0" w14:textId="77777777" w:rsidR="00D065E0" w:rsidRDefault="00D065E0">
            <w:pPr>
              <w:tabs>
                <w:tab w:val="left" w:pos="7547"/>
              </w:tabs>
              <w:rPr>
                <w:rFonts w:ascii="Arial" w:hAnsi="Arial" w:cs="Arial"/>
                <w:b/>
                <w:bCs/>
                <w:color w:val="000000"/>
                <w:sz w:val="4"/>
                <w:szCs w:val="4"/>
              </w:rPr>
            </w:pPr>
          </w:p>
          <w:tbl>
            <w:tblPr>
              <w:tblW w:w="9865" w:type="dxa"/>
              <w:tblLayout w:type="fixed"/>
              <w:tblCellMar>
                <w:top w:w="55" w:type="dxa"/>
                <w:left w:w="55" w:type="dxa"/>
                <w:bottom w:w="55" w:type="dxa"/>
                <w:right w:w="55" w:type="dxa"/>
              </w:tblCellMar>
              <w:tblLook w:val="04A0" w:firstRow="1" w:lastRow="0" w:firstColumn="1" w:lastColumn="0" w:noHBand="0" w:noVBand="1"/>
            </w:tblPr>
            <w:tblGrid>
              <w:gridCol w:w="9865"/>
            </w:tblGrid>
            <w:tr w:rsidR="00D065E0" w14:paraId="0A842B54" w14:textId="77777777">
              <w:tc>
                <w:tcPr>
                  <w:tcW w:w="9865" w:type="dxa"/>
                </w:tcPr>
                <w:p w14:paraId="1566241D" w14:textId="77777777" w:rsidR="00D065E0" w:rsidRDefault="00764740">
                  <w:pPr>
                    <w:pStyle w:val="LO-Normal"/>
                    <w:tabs>
                      <w:tab w:val="left" w:pos="7547"/>
                    </w:tabs>
                    <w:ind w:left="57" w:right="57"/>
                    <w:rPr>
                      <w:rFonts w:ascii="Arial" w:hAnsi="Arial" w:cs="Arial"/>
                      <w:b/>
                      <w:bCs/>
                      <w:color w:val="000000"/>
                    </w:rPr>
                  </w:pPr>
                  <w:r>
                    <w:rPr>
                      <w:rFonts w:ascii="Arial" w:hAnsi="Arial" w:cs="Arial"/>
                      <w:b/>
                      <w:bCs/>
                      <w:color w:val="000000"/>
                    </w:rPr>
                    <w:t>Público</w:t>
                  </w:r>
                </w:p>
              </w:tc>
            </w:tr>
          </w:tbl>
          <w:p w14:paraId="0B7EF13D" w14:textId="77777777" w:rsidR="00D065E0" w:rsidRDefault="00D065E0">
            <w:pPr>
              <w:pStyle w:val="LO-Normal"/>
              <w:widowControl/>
              <w:tabs>
                <w:tab w:val="left" w:pos="7547"/>
              </w:tabs>
              <w:spacing w:line="360" w:lineRule="auto"/>
              <w:rPr>
                <w:rFonts w:ascii="Arial" w:hAnsi="Arial" w:cs="Arial"/>
                <w:b/>
                <w:bCs/>
                <w:color w:val="000000"/>
                <w:sz w:val="4"/>
                <w:szCs w:val="4"/>
              </w:rPr>
            </w:pPr>
          </w:p>
        </w:tc>
      </w:tr>
    </w:tbl>
    <w:p w14:paraId="3C408247" w14:textId="77777777" w:rsidR="00D065E0" w:rsidRPr="00764740" w:rsidRDefault="00D065E0">
      <w:pPr>
        <w:pStyle w:val="Textoindependiente"/>
        <w:spacing w:after="0" w:line="360" w:lineRule="auto"/>
        <w:rPr>
          <w:rFonts w:ascii="Arial" w:hAnsi="Arial" w:cs="Arial"/>
          <w:b/>
          <w:bCs/>
          <w:sz w:val="24"/>
          <w:szCs w:val="24"/>
        </w:rPr>
      </w:pPr>
    </w:p>
    <w:sectPr w:rsidR="00D065E0" w:rsidRPr="00764740">
      <w:headerReference w:type="default" r:id="rId8"/>
      <w:footerReference w:type="default" r:id="rId9"/>
      <w:pgSz w:w="11906" w:h="15817"/>
      <w:pgMar w:top="1440" w:right="1134" w:bottom="2995" w:left="1134" w:header="567"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AA59ED" w14:textId="77777777" w:rsidR="00764740" w:rsidRDefault="00764740">
      <w:r>
        <w:separator/>
      </w:r>
    </w:p>
  </w:endnote>
  <w:endnote w:type="continuationSeparator" w:id="0">
    <w:p w14:paraId="4BBA33B1" w14:textId="77777777" w:rsidR="00764740" w:rsidRDefault="0076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Roman No9 L">
    <w:altName w:val="Times New Roman"/>
    <w:charset w:val="01"/>
    <w:family w:val="roman"/>
    <w:pitch w:val="variable"/>
  </w:font>
  <w:font w:name="DejaVu Sans">
    <w:altName w:val="Verdan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Nimbus Sans L">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OpenSymbol">
    <w:altName w:val="Segoe UI Symbol"/>
    <w:charset w:val="02"/>
    <w:family w:val="auto"/>
    <w:pitch w:val="default"/>
  </w:font>
  <w:font w:name="DejaVu Sans Mono">
    <w:altName w:val="Verdana"/>
    <w:charset w:val="01"/>
    <w:family w:val="modern"/>
    <w:pitch w:val="fixed"/>
  </w:font>
  <w:font w:name="Aptos">
    <w:charset w:val="00"/>
    <w:family w:val="swiss"/>
    <w:pitch w:val="variable"/>
    <w:sig w:usb0="20000287" w:usb1="00000003" w:usb2="00000000" w:usb3="00000000" w:csb0="0000019F" w:csb1="00000000"/>
  </w:font>
  <w:font w:name="Nexa Light">
    <w:altName w:val="Calibri"/>
    <w:charset w:val="01"/>
    <w:family w:val="auto"/>
    <w:pitch w:val="variable"/>
  </w:font>
  <w:font w:name="Nexa Bold">
    <w:altName w:val="Calibri"/>
    <w:charset w:val="01"/>
    <w:family w:val="auto"/>
    <w:pitch w:val="variable"/>
  </w:font>
  <w:font w:name="Helvetica Neue">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urier 10 Pitch">
    <w:altName w:val="Courier New"/>
    <w:charset w:val="01"/>
    <w:family w:val="auto"/>
    <w:pitch w:val="fixed"/>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09375" w14:textId="77777777" w:rsidR="00D065E0" w:rsidRDefault="00D065E0">
    <w:pPr>
      <w:pStyle w:val="Piedepgina"/>
      <w:rPr>
        <w:rFonts w:ascii="Arial" w:hAnsi="Arial" w:cs="Arial"/>
        <w:color w:val="000000"/>
        <w:sz w:val="16"/>
        <w:szCs w:val="16"/>
        <w:shd w:val="clear" w:color="auto" w:fill="FFFFFF"/>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7653"/>
      <w:gridCol w:w="1985"/>
    </w:tblGrid>
    <w:tr w:rsidR="00D065E0" w14:paraId="6E04DE62" w14:textId="77777777">
      <w:trPr>
        <w:cantSplit/>
        <w:trHeight w:val="280"/>
      </w:trPr>
      <w:tc>
        <w:tcPr>
          <w:tcW w:w="7653" w:type="dxa"/>
          <w:tcBorders>
            <w:bottom w:val="single" w:sz="4" w:space="0" w:color="000000"/>
          </w:tcBorders>
        </w:tcPr>
        <w:p w14:paraId="3465DFAC" w14:textId="77777777" w:rsidR="00D065E0" w:rsidRDefault="00D065E0">
          <w:pPr>
            <w:pStyle w:val="PreformattedText"/>
            <w:rPr>
              <w:rFonts w:ascii="Courier 10 Pitch" w:hAnsi="Courier 10 Pitch"/>
              <w:sz w:val="12"/>
              <w:szCs w:val="12"/>
              <w:shd w:val="clear" w:color="auto" w:fill="000000"/>
            </w:rPr>
          </w:pPr>
          <w:bookmarkStart w:id="0" w:name="signs"/>
          <w:bookmarkEnd w:id="0"/>
        </w:p>
      </w:tc>
      <w:tc>
        <w:tcPr>
          <w:tcW w:w="1985" w:type="dxa"/>
          <w:tcBorders>
            <w:bottom w:val="single" w:sz="4" w:space="0" w:color="000000"/>
          </w:tcBorders>
        </w:tcPr>
        <w:p w14:paraId="4342A01A" w14:textId="77777777" w:rsidR="00D065E0" w:rsidRDefault="00D065E0">
          <w:pPr>
            <w:pStyle w:val="TableContents"/>
            <w:rPr>
              <w:rFonts w:ascii="Courier 10 Pitch" w:hAnsi="Courier 10 Pitch"/>
              <w:sz w:val="12"/>
              <w:szCs w:val="12"/>
              <w:shd w:val="clear" w:color="auto" w:fill="000000"/>
            </w:rPr>
          </w:pPr>
          <w:bookmarkStart w:id="1" w:name="record"/>
          <w:bookmarkEnd w:id="1"/>
        </w:p>
      </w:tc>
    </w:tr>
  </w:tbl>
  <w:p w14:paraId="4BD446BE" w14:textId="77777777" w:rsidR="00D065E0" w:rsidRDefault="00764740">
    <w:pPr>
      <w:tabs>
        <w:tab w:val="center" w:pos="4419"/>
        <w:tab w:val="right" w:pos="8838"/>
      </w:tabs>
      <w:rPr>
        <w:rFonts w:ascii="Arial" w:hAnsi="Arial" w:cs="Arial"/>
        <w:b/>
      </w:rPr>
    </w:pPr>
    <w:r>
      <w:rPr>
        <w:rFonts w:ascii="Arial" w:hAnsi="Arial" w:cs="Arial"/>
        <w:b/>
      </w:rPr>
      <w:t>Agencia Presidencial de Cooperación Internacional de Colombia, APC Colombia</w:t>
    </w:r>
  </w:p>
  <w:p w14:paraId="29AACBA7" w14:textId="77777777" w:rsidR="00D065E0" w:rsidRDefault="00764740">
    <w:pPr>
      <w:tabs>
        <w:tab w:val="center" w:pos="4419"/>
        <w:tab w:val="right" w:pos="8838"/>
      </w:tabs>
      <w:rPr>
        <w:rFonts w:ascii="Arial" w:hAnsi="Arial" w:cs="Arial"/>
      </w:rPr>
    </w:pPr>
    <w:r>
      <w:rPr>
        <w:rFonts w:ascii="Arial" w:hAnsi="Arial" w:cs="Arial"/>
      </w:rPr>
      <w:t>Teléfono: (+57) 601 601 2424 | Línea gratuita: 01 8000 41 37 95 | Código postal: 110221</w:t>
    </w:r>
  </w:p>
  <w:p w14:paraId="18539D56" w14:textId="77777777" w:rsidR="00D065E0" w:rsidRDefault="00764740">
    <w:pPr>
      <w:tabs>
        <w:tab w:val="center" w:pos="4419"/>
        <w:tab w:val="right" w:pos="8838"/>
      </w:tabs>
    </w:pPr>
    <w:r>
      <w:rPr>
        <w:rFonts w:ascii="Arial" w:hAnsi="Arial" w:cs="Arial"/>
      </w:rPr>
      <w:t>Dirección: Carrera 10 No. 97A - 13, Torre A, Piso 6 | Bogotá D.C., Colombia</w:t>
    </w:r>
    <w:r>
      <w:rPr>
        <w:rFonts w:ascii="Arial" w:hAnsi="Arial" w:cs="Arial"/>
        <w:color w:val="000000"/>
      </w:rPr>
      <w:t xml:space="preserve"> </w:t>
    </w:r>
  </w:p>
  <w:p w14:paraId="5AC7B3A6" w14:textId="77777777" w:rsidR="00D065E0" w:rsidRDefault="00764740">
    <w:pPr>
      <w:tabs>
        <w:tab w:val="center" w:pos="4419"/>
        <w:tab w:val="right" w:pos="8838"/>
      </w:tabs>
    </w:pPr>
    <w:hyperlink r:id="rId1">
      <w:r>
        <w:rPr>
          <w:rStyle w:val="Hipervnculo"/>
          <w:rFonts w:ascii="Arial" w:hAnsi="Arial" w:cs="Arial"/>
          <w:shd w:val="clear" w:color="auto" w:fill="FFFFFF"/>
        </w:rPr>
        <w:t>www.apccolombia.gov.co</w:t>
      </w:r>
    </w:hyperlink>
  </w:p>
  <w:p w14:paraId="3A43C51E" w14:textId="77777777" w:rsidR="00D065E0" w:rsidRDefault="00764740">
    <w:pPr>
      <w:rPr>
        <w:rFonts w:ascii="Arial" w:hAnsi="Arial" w:cs="Arial"/>
        <w:color w:val="000000"/>
        <w:sz w:val="16"/>
        <w:szCs w:val="16"/>
        <w:shd w:val="clear" w:color="auto" w:fill="FFFFFF"/>
      </w:rPr>
    </w:pPr>
    <w:r>
      <w:rPr>
        <w:rFonts w:ascii="Arial" w:hAnsi="Arial" w:cs="Arial"/>
        <w:color w:val="000000"/>
        <w:sz w:val="16"/>
        <w:szCs w:val="16"/>
        <w:shd w:val="clear" w:color="auto" w:fill="FFFFFF"/>
      </w:rPr>
      <w:t xml:space="preserve">Página: </w:t>
    </w:r>
    <w:r>
      <w:rPr>
        <w:rFonts w:ascii="Arial" w:hAnsi="Arial" w:cs="Arial"/>
        <w:color w:val="000000"/>
        <w:sz w:val="16"/>
        <w:szCs w:val="16"/>
        <w:shd w:val="clear" w:color="auto" w:fill="FFFFFF"/>
      </w:rPr>
      <w:fldChar w:fldCharType="begin"/>
    </w:r>
    <w:r>
      <w:rPr>
        <w:rFonts w:ascii="Arial" w:hAnsi="Arial" w:cs="Arial"/>
        <w:color w:val="000000"/>
        <w:sz w:val="16"/>
        <w:szCs w:val="16"/>
        <w:shd w:val="clear" w:color="auto" w:fill="FFFFFF"/>
      </w:rPr>
      <w:instrText xml:space="preserve"> PAGE </w:instrText>
    </w:r>
    <w:r>
      <w:rPr>
        <w:rFonts w:ascii="Arial" w:hAnsi="Arial" w:cs="Arial"/>
        <w:color w:val="000000"/>
        <w:sz w:val="16"/>
        <w:szCs w:val="16"/>
        <w:shd w:val="clear" w:color="auto" w:fill="FFFFFF"/>
      </w:rPr>
      <w:fldChar w:fldCharType="separate"/>
    </w:r>
    <w:r>
      <w:rPr>
        <w:rFonts w:ascii="Arial" w:hAnsi="Arial" w:cs="Arial"/>
        <w:color w:val="000000"/>
        <w:sz w:val="16"/>
        <w:szCs w:val="16"/>
        <w:shd w:val="clear" w:color="auto" w:fill="FFFFFF"/>
      </w:rPr>
      <w:t>2</w:t>
    </w:r>
    <w:r>
      <w:rPr>
        <w:rFonts w:ascii="Arial" w:hAnsi="Arial" w:cs="Arial"/>
        <w:color w:val="000000"/>
        <w:sz w:val="16"/>
        <w:szCs w:val="16"/>
        <w:shd w:val="clear" w:color="auto" w:fill="FFFFFF"/>
      </w:rPr>
      <w:fldChar w:fldCharType="end"/>
    </w:r>
    <w:r>
      <w:rPr>
        <w:rFonts w:ascii="Arial" w:hAnsi="Arial" w:cs="Arial"/>
        <w:color w:val="000000"/>
        <w:sz w:val="16"/>
        <w:szCs w:val="16"/>
        <w:shd w:val="clear" w:color="auto" w:fill="FFFFFF"/>
      </w:rPr>
      <w:t>/</w:t>
    </w:r>
    <w:r>
      <w:rPr>
        <w:rFonts w:ascii="Arial" w:hAnsi="Arial" w:cs="Arial"/>
        <w:color w:val="000000"/>
        <w:sz w:val="16"/>
        <w:szCs w:val="16"/>
        <w:shd w:val="clear" w:color="auto" w:fill="FFFFFF"/>
      </w:rPr>
      <w:fldChar w:fldCharType="begin"/>
    </w:r>
    <w:r>
      <w:rPr>
        <w:rFonts w:ascii="Arial" w:hAnsi="Arial" w:cs="Arial"/>
        <w:color w:val="000000"/>
        <w:sz w:val="16"/>
        <w:szCs w:val="16"/>
        <w:shd w:val="clear" w:color="auto" w:fill="FFFFFF"/>
      </w:rPr>
      <w:instrText xml:space="preserve"> NUMPAGES </w:instrText>
    </w:r>
    <w:r>
      <w:rPr>
        <w:rFonts w:ascii="Arial" w:hAnsi="Arial" w:cs="Arial"/>
        <w:color w:val="000000"/>
        <w:sz w:val="16"/>
        <w:szCs w:val="16"/>
        <w:shd w:val="clear" w:color="auto" w:fill="FFFFFF"/>
      </w:rPr>
      <w:fldChar w:fldCharType="separate"/>
    </w:r>
    <w:r>
      <w:rPr>
        <w:rFonts w:ascii="Arial" w:hAnsi="Arial" w:cs="Arial"/>
        <w:color w:val="000000"/>
        <w:sz w:val="16"/>
        <w:szCs w:val="16"/>
        <w:shd w:val="clear" w:color="auto" w:fill="FFFFFF"/>
      </w:rPr>
      <w:t>2</w:t>
    </w:r>
    <w:r>
      <w:rPr>
        <w:rFonts w:ascii="Arial" w:hAnsi="Arial" w:cs="Arial"/>
        <w:color w:val="000000"/>
        <w:sz w:val="16"/>
        <w:szCs w:val="16"/>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B42A7" w14:textId="77777777" w:rsidR="00764740" w:rsidRDefault="00764740">
      <w:r>
        <w:separator/>
      </w:r>
    </w:p>
  </w:footnote>
  <w:footnote w:type="continuationSeparator" w:id="0">
    <w:p w14:paraId="3F66BA0A" w14:textId="77777777" w:rsidR="00764740" w:rsidRDefault="0076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top w:w="55" w:type="dxa"/>
        <w:left w:w="55" w:type="dxa"/>
        <w:bottom w:w="55" w:type="dxa"/>
        <w:right w:w="55" w:type="dxa"/>
      </w:tblCellMar>
      <w:tblLook w:val="04A0" w:firstRow="1" w:lastRow="0" w:firstColumn="1" w:lastColumn="0" w:noHBand="0" w:noVBand="1"/>
    </w:tblPr>
    <w:tblGrid>
      <w:gridCol w:w="9638"/>
    </w:tblGrid>
    <w:tr w:rsidR="00D065E0" w14:paraId="6E8866E8" w14:textId="77777777">
      <w:trPr>
        <w:trHeight w:hRule="exact" w:val="879"/>
      </w:trPr>
      <w:tc>
        <w:tcPr>
          <w:tcW w:w="9638" w:type="dxa"/>
        </w:tcPr>
        <w:p w14:paraId="4B0BBB27" w14:textId="77777777" w:rsidR="00D065E0" w:rsidRDefault="00764740">
          <w:pPr>
            <w:pStyle w:val="PreformattedText"/>
            <w:jc w:val="center"/>
            <w:rPr>
              <w:rFonts w:ascii="Nexa Light" w:hAnsi="Nexa Light"/>
              <w:sz w:val="16"/>
              <w:szCs w:val="16"/>
            </w:rPr>
          </w:pPr>
          <w:r>
            <w:rPr>
              <w:rFonts w:ascii="Nexa Light" w:hAnsi="Nexa Light"/>
              <w:noProof/>
              <w:sz w:val="16"/>
              <w:szCs w:val="16"/>
            </w:rPr>
            <w:drawing>
              <wp:anchor distT="0" distB="0" distL="0" distR="0" simplePos="0" relativeHeight="3" behindDoc="0" locked="0" layoutInCell="0" allowOverlap="1" wp14:anchorId="04B08413" wp14:editId="02C77777">
                <wp:simplePos x="0" y="0"/>
                <wp:positionH relativeFrom="column">
                  <wp:align>center</wp:align>
                </wp:positionH>
                <wp:positionV relativeFrom="paragraph">
                  <wp:posOffset>-31750</wp:posOffset>
                </wp:positionV>
                <wp:extent cx="1545590" cy="557530"/>
                <wp:effectExtent l="0" t="0" r="0" b="0"/>
                <wp:wrapSquare wrapText="largest"/>
                <wp:docPr id="1" name="gráfic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áficos1"/>
                        <pic:cNvPicPr>
                          <a:picLocks noChangeAspect="1" noChangeArrowheads="1"/>
                        </pic:cNvPicPr>
                      </pic:nvPicPr>
                      <pic:blipFill>
                        <a:blip r:embed="rId1"/>
                        <a:stretch>
                          <a:fillRect/>
                        </a:stretch>
                      </pic:blipFill>
                      <pic:spPr bwMode="auto">
                        <a:xfrm>
                          <a:off x="0" y="0"/>
                          <a:ext cx="1545590" cy="557530"/>
                        </a:xfrm>
                        <a:prstGeom prst="rect">
                          <a:avLst/>
                        </a:prstGeom>
                      </pic:spPr>
                    </pic:pic>
                  </a:graphicData>
                </a:graphic>
              </wp:anchor>
            </w:drawing>
          </w:r>
        </w:p>
        <w:p w14:paraId="1C17B491" w14:textId="77777777" w:rsidR="00D065E0" w:rsidRDefault="00D065E0">
          <w:pPr>
            <w:pStyle w:val="TableContents"/>
            <w:jc w:val="right"/>
            <w:rPr>
              <w:rFonts w:ascii="Nexa Bold" w:hAnsi="Nexa Bold"/>
              <w:sz w:val="14"/>
              <w:szCs w:val="14"/>
            </w:rPr>
          </w:pPr>
        </w:p>
        <w:p w14:paraId="5476D9A5" w14:textId="77777777" w:rsidR="00D065E0" w:rsidRDefault="00D065E0">
          <w:pPr>
            <w:pStyle w:val="TableContents"/>
            <w:jc w:val="right"/>
            <w:rPr>
              <w:rFonts w:ascii="Nexa Bold" w:hAnsi="Nexa Bold"/>
              <w:sz w:val="14"/>
              <w:szCs w:val="14"/>
            </w:rPr>
          </w:pPr>
        </w:p>
      </w:tc>
    </w:tr>
  </w:tbl>
  <w:p w14:paraId="01E0B591" w14:textId="77777777" w:rsidR="00D065E0" w:rsidRDefault="00D065E0">
    <w:pPr>
      <w:pStyle w:val="Textoindependiente"/>
      <w:spacing w:after="0"/>
      <w:rPr>
        <w:rFonts w:ascii="Arial" w:hAnsi="Arial"/>
        <w:b/>
        <w:bCs/>
      </w:rPr>
    </w:pPr>
  </w:p>
  <w:p w14:paraId="46887444" w14:textId="77777777" w:rsidR="00EB3F0C" w:rsidRPr="00233FDB" w:rsidRDefault="00EB3F0C" w:rsidP="00EB3F0C">
    <w:pPr>
      <w:pBdr>
        <w:top w:val="nil"/>
        <w:left w:val="nil"/>
        <w:bottom w:val="nil"/>
        <w:right w:val="nil"/>
        <w:between w:val="nil"/>
      </w:pBdr>
      <w:tabs>
        <w:tab w:val="center" w:pos="4419"/>
        <w:tab w:val="right" w:pos="8838"/>
      </w:tabs>
      <w:jc w:val="both"/>
      <w:rPr>
        <w:rFonts w:ascii="Arial" w:hAnsi="Arial" w:cs="Arial"/>
        <w:b/>
      </w:rPr>
    </w:pPr>
    <w:r w:rsidRPr="00233FDB">
      <w:rPr>
        <w:rFonts w:ascii="Arial" w:hAnsi="Arial" w:cs="Arial"/>
        <w:b/>
        <w:noProof/>
        <w:lang w:val="es-CO"/>
      </w:rPr>
      <mc:AlternateContent>
        <mc:Choice Requires="wps">
          <w:drawing>
            <wp:anchor distT="0" distB="0" distL="114300" distR="114300" simplePos="0" relativeHeight="251659264" behindDoc="0" locked="0" layoutInCell="1" hidden="0" allowOverlap="1" wp14:anchorId="07F7455B" wp14:editId="342C58D9">
              <wp:simplePos x="0" y="0"/>
              <wp:positionH relativeFrom="column">
                <wp:posOffset>3</wp:posOffset>
              </wp:positionH>
              <wp:positionV relativeFrom="paragraph">
                <wp:posOffset>11191875</wp:posOffset>
              </wp:positionV>
              <wp:extent cx="6029325" cy="1229995"/>
              <wp:effectExtent l="0" t="0" r="0" b="0"/>
              <wp:wrapNone/>
              <wp:docPr id="854115399" name="Rectángulo 854115399"/>
              <wp:cNvGraphicFramePr/>
              <a:graphic xmlns:a="http://schemas.openxmlformats.org/drawingml/2006/main">
                <a:graphicData uri="http://schemas.microsoft.com/office/word/2010/wordprocessingShape">
                  <wps:wsp>
                    <wps:cNvSpPr/>
                    <wps:spPr>
                      <a:xfrm>
                        <a:off x="0" y="0"/>
                        <a:ext cx="6029325" cy="1229995"/>
                      </a:xfrm>
                      <a:prstGeom prst="rect">
                        <a:avLst/>
                      </a:prstGeom>
                      <a:noFill/>
                      <a:ln>
                        <a:noFill/>
                      </a:ln>
                    </wps:spPr>
                    <wps:txbx>
                      <w:txbxContent>
                        <w:p w14:paraId="289BE4AF" w14:textId="77777777" w:rsidR="00EB3F0C" w:rsidRDefault="00EB3F0C" w:rsidP="00EB3F0C">
                          <w:pPr>
                            <w:spacing w:line="275" w:lineRule="auto"/>
                            <w:textDirection w:val="btLr"/>
                          </w:pPr>
                          <w:r>
                            <w:rPr>
                              <w:rFonts w:ascii="Helvetica Neue" w:eastAsia="Helvetica Neue" w:hAnsi="Helvetica Neue" w:cs="Helvetica Neue"/>
                              <w:color w:val="000000"/>
                            </w:rPr>
                            <w:t>________________________________________________________________________</w:t>
                          </w:r>
                        </w:p>
                        <w:p w14:paraId="7FA0DDE5" w14:textId="77777777" w:rsidR="00EB3F0C" w:rsidRDefault="00EB3F0C" w:rsidP="00EB3F0C">
                          <w:pPr>
                            <w:spacing w:line="275" w:lineRule="auto"/>
                            <w:textDirection w:val="btLr"/>
                          </w:pPr>
                          <w:r>
                            <w:rPr>
                              <w:rFonts w:ascii="Verdana" w:eastAsia="Verdana" w:hAnsi="Verdana" w:cs="Verdana"/>
                              <w:b/>
                              <w:color w:val="000000"/>
                            </w:rPr>
                            <w:t>Agencia Presidencial de Cooperación Internacional de Colombia, APC Colombia</w:t>
                          </w:r>
                        </w:p>
                        <w:p w14:paraId="596D8F9A" w14:textId="77777777" w:rsidR="00EB3F0C" w:rsidRDefault="00EB3F0C" w:rsidP="00EB3F0C">
                          <w:pPr>
                            <w:spacing w:line="275" w:lineRule="auto"/>
                            <w:textDirection w:val="btLr"/>
                          </w:pPr>
                          <w:r>
                            <w:rPr>
                              <w:rFonts w:ascii="Verdana" w:eastAsia="Verdana" w:hAnsi="Verdana" w:cs="Verdana"/>
                              <w:color w:val="000000"/>
                            </w:rPr>
                            <w:t>Dirección: Carrera 10 No. 97A-13, Piso 6, Torre A | Bogotá D.C., Colombia</w:t>
                          </w:r>
                        </w:p>
                        <w:p w14:paraId="5B2AF90F" w14:textId="77777777" w:rsidR="00EB3F0C" w:rsidRDefault="00EB3F0C" w:rsidP="00EB3F0C">
                          <w:pPr>
                            <w:spacing w:line="275" w:lineRule="auto"/>
                            <w:textDirection w:val="btLr"/>
                          </w:pPr>
                          <w:r>
                            <w:rPr>
                              <w:rFonts w:ascii="Verdana" w:eastAsia="Verdana" w:hAnsi="Verdana" w:cs="Verdana"/>
                              <w:color w:val="000000"/>
                            </w:rPr>
                            <w:t>Teléfono: (+57) 601 601 2424 Línea gratuita nacional: 018000413795</w:t>
                          </w:r>
                          <w:r>
                            <w:rPr>
                              <w:rFonts w:ascii="Verdana" w:eastAsia="Verdana" w:hAnsi="Verdana" w:cs="Verdana"/>
                              <w:color w:val="000000"/>
                            </w:rPr>
                            <w:br/>
                            <w:t>Código postal: 110221</w:t>
                          </w:r>
                          <w:r>
                            <w:rPr>
                              <w:rFonts w:ascii="Verdana" w:eastAsia="Verdana" w:hAnsi="Verdana" w:cs="Verdana"/>
                              <w:color w:val="000000"/>
                            </w:rPr>
                            <w:br/>
                            <w:t>www.apccolombia.gov.co</w:t>
                          </w:r>
                        </w:p>
                      </w:txbxContent>
                    </wps:txbx>
                    <wps:bodyPr spcFirstLastPara="1" wrap="square" lIns="91425" tIns="45700" rIns="91425" bIns="45700" anchor="t" anchorCtr="0">
                      <a:noAutofit/>
                    </wps:bodyPr>
                  </wps:wsp>
                </a:graphicData>
              </a:graphic>
            </wp:anchor>
          </w:drawing>
        </mc:Choice>
        <mc:Fallback>
          <w:pict>
            <v:rect w14:anchorId="07F7455B" id="Rectángulo 854115399" o:spid="_x0000_s1026" style="position:absolute;left:0;text-align:left;margin-left:0;margin-top:881.25pt;width:474.75pt;height:96.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" filled="f" stroked="f">
              <v:textbox inset="2.53958mm,1.2694mm,2.53958mm,1.2694mm">
                <w:txbxContent>
                  <w:p w14:paraId="289BE4AF" w14:textId="77777777" w:rsidR="00EB3F0C" w:rsidRDefault="00EB3F0C" w:rsidP="00EB3F0C">
                    <w:pPr>
                      <w:spacing w:line="275" w:lineRule="auto"/>
                      <w:textDirection w:val="btLr"/>
                    </w:pPr>
                    <w:r>
                      <w:rPr>
                        <w:rFonts w:ascii="Helvetica Neue" w:eastAsia="Helvetica Neue" w:hAnsi="Helvetica Neue" w:cs="Helvetica Neue"/>
                        <w:color w:val="000000"/>
                      </w:rPr>
                      <w:t>________________________________________________________________________</w:t>
                    </w:r>
                  </w:p>
                  <w:p w14:paraId="7FA0DDE5" w14:textId="77777777" w:rsidR="00EB3F0C" w:rsidRDefault="00EB3F0C" w:rsidP="00EB3F0C">
                    <w:pPr>
                      <w:spacing w:line="275" w:lineRule="auto"/>
                      <w:textDirection w:val="btLr"/>
                    </w:pPr>
                    <w:r>
                      <w:rPr>
                        <w:rFonts w:ascii="Verdana" w:eastAsia="Verdana" w:hAnsi="Verdana" w:cs="Verdana"/>
                        <w:b/>
                        <w:color w:val="000000"/>
                      </w:rPr>
                      <w:t>Agencia Presidencial de Cooperación Internacional de Colombia, APC Colombia</w:t>
                    </w:r>
                  </w:p>
                  <w:p w14:paraId="596D8F9A" w14:textId="77777777" w:rsidR="00EB3F0C" w:rsidRDefault="00EB3F0C" w:rsidP="00EB3F0C">
                    <w:pPr>
                      <w:spacing w:line="275" w:lineRule="auto"/>
                      <w:textDirection w:val="btLr"/>
                    </w:pPr>
                    <w:r>
                      <w:rPr>
                        <w:rFonts w:ascii="Verdana" w:eastAsia="Verdana" w:hAnsi="Verdana" w:cs="Verdana"/>
                        <w:color w:val="000000"/>
                      </w:rPr>
                      <w:t>Dirección: Carrera 10 No. 97A-13, Piso 6, Torre A | Bogotá D.C., Colombia</w:t>
                    </w:r>
                  </w:p>
                  <w:p w14:paraId="5B2AF90F" w14:textId="77777777" w:rsidR="00EB3F0C" w:rsidRDefault="00EB3F0C" w:rsidP="00EB3F0C">
                    <w:pPr>
                      <w:spacing w:line="275" w:lineRule="auto"/>
                      <w:textDirection w:val="btLr"/>
                    </w:pPr>
                    <w:r>
                      <w:rPr>
                        <w:rFonts w:ascii="Verdana" w:eastAsia="Verdana" w:hAnsi="Verdana" w:cs="Verdana"/>
                        <w:color w:val="000000"/>
                      </w:rPr>
                      <w:t>Teléfono: (+57) 601 601 2424 Línea gratuita nacional: 018000413795</w:t>
                    </w:r>
                    <w:r>
                      <w:rPr>
                        <w:rFonts w:ascii="Verdana" w:eastAsia="Verdana" w:hAnsi="Verdana" w:cs="Verdana"/>
                        <w:color w:val="000000"/>
                      </w:rPr>
                      <w:br/>
                      <w:t>Código postal: 110221</w:t>
                    </w:r>
                    <w:r>
                      <w:rPr>
                        <w:rFonts w:ascii="Verdana" w:eastAsia="Verdana" w:hAnsi="Verdana" w:cs="Verdana"/>
                        <w:color w:val="000000"/>
                      </w:rPr>
                      <w:br/>
                      <w:t>www.apccolombia.gov.co</w:t>
                    </w:r>
                  </w:p>
                </w:txbxContent>
              </v:textbox>
            </v:rect>
          </w:pict>
        </mc:Fallback>
      </mc:AlternateContent>
    </w:r>
    <w:r>
      <w:rPr>
        <w:rFonts w:ascii="Arial" w:hAnsi="Arial" w:cs="Arial"/>
        <w:b/>
      </w:rPr>
      <w:t>OFICIO</w:t>
    </w:r>
    <w:r w:rsidRPr="00233FDB">
      <w:rPr>
        <w:rFonts w:ascii="Arial" w:hAnsi="Arial" w:cs="Arial"/>
        <w:b/>
      </w:rPr>
      <w:t xml:space="preserve"> </w:t>
    </w:r>
  </w:p>
  <w:p w14:paraId="7BE12938" w14:textId="77777777" w:rsidR="00EB3F0C" w:rsidRPr="00233FDB" w:rsidRDefault="00EB3F0C" w:rsidP="00EB3F0C">
    <w:pPr>
      <w:pBdr>
        <w:top w:val="nil"/>
        <w:left w:val="nil"/>
        <w:bottom w:val="nil"/>
        <w:right w:val="nil"/>
        <w:between w:val="nil"/>
      </w:pBdr>
      <w:tabs>
        <w:tab w:val="center" w:pos="4419"/>
        <w:tab w:val="right" w:pos="8838"/>
      </w:tabs>
      <w:jc w:val="both"/>
      <w:rPr>
        <w:rFonts w:ascii="Arial" w:hAnsi="Arial" w:cs="Arial"/>
      </w:rPr>
    </w:pPr>
    <w:r>
      <w:rPr>
        <w:rFonts w:ascii="Arial" w:hAnsi="Arial" w:cs="Arial"/>
      </w:rPr>
      <w:t>Código: A-FO-102</w:t>
    </w:r>
    <w:r w:rsidRPr="00233FDB">
      <w:rPr>
        <w:rFonts w:ascii="Arial" w:hAnsi="Arial" w:cs="Arial"/>
      </w:rPr>
      <w:t xml:space="preserve"> | </w:t>
    </w:r>
    <w:r>
      <w:rPr>
        <w:rFonts w:ascii="Arial" w:hAnsi="Arial" w:cs="Arial"/>
      </w:rPr>
      <w:t>Versión: 1</w:t>
    </w:r>
    <w:r w:rsidRPr="00233FDB">
      <w:rPr>
        <w:rFonts w:ascii="Arial" w:hAnsi="Arial" w:cs="Arial"/>
      </w:rPr>
      <w:t>1</w:t>
    </w:r>
    <w:r>
      <w:rPr>
        <w:rFonts w:ascii="Arial" w:hAnsi="Arial" w:cs="Arial"/>
      </w:rPr>
      <w:t xml:space="preserve"> </w:t>
    </w:r>
    <w:r w:rsidRPr="00233FDB">
      <w:rPr>
        <w:rFonts w:ascii="Arial" w:hAnsi="Arial" w:cs="Arial"/>
      </w:rPr>
      <w:t xml:space="preserve">| </w:t>
    </w:r>
    <w:r>
      <w:rPr>
        <w:rFonts w:ascii="Arial" w:hAnsi="Arial" w:cs="Arial"/>
      </w:rPr>
      <w:t>Fecha: Julio 3</w:t>
    </w:r>
    <w:r w:rsidRPr="00233FDB">
      <w:rPr>
        <w:rFonts w:ascii="Arial" w:hAnsi="Arial" w:cs="Arial"/>
      </w:rPr>
      <w:t>0 de 2024</w:t>
    </w:r>
  </w:p>
  <w:p w14:paraId="456BCAA6" w14:textId="77777777" w:rsidR="00D065E0" w:rsidRDefault="00D065E0">
    <w:pPr>
      <w:pStyle w:val="Textoindependiente"/>
      <w:spacing w:after="0"/>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167AE"/>
    <w:multiLevelType w:val="hybridMultilevel"/>
    <w:tmpl w:val="318EA38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0767E1B"/>
    <w:multiLevelType w:val="hybridMultilevel"/>
    <w:tmpl w:val="226040F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2A715FB9"/>
    <w:multiLevelType w:val="hybridMultilevel"/>
    <w:tmpl w:val="CED2E7D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F352E61"/>
    <w:multiLevelType w:val="hybridMultilevel"/>
    <w:tmpl w:val="F2962D4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52717990"/>
    <w:multiLevelType w:val="hybridMultilevel"/>
    <w:tmpl w:val="3050BDC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C2F2F21"/>
    <w:multiLevelType w:val="multilevel"/>
    <w:tmpl w:val="936E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EF640F6"/>
    <w:multiLevelType w:val="hybridMultilevel"/>
    <w:tmpl w:val="4492FAF4"/>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685B262F"/>
    <w:multiLevelType w:val="hybridMultilevel"/>
    <w:tmpl w:val="7020EBAA"/>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5906A6B"/>
    <w:multiLevelType w:val="multilevel"/>
    <w:tmpl w:val="D1762780"/>
    <w:lvl w:ilvl="0">
      <w:start w:val="1"/>
      <w:numFmt w:val="none"/>
      <w:pStyle w:val="Ttulo1"/>
      <w:suff w:val="nothing"/>
      <w:lvlText w:val="%1"/>
      <w:lvlJc w:val="left"/>
      <w:pPr>
        <w:tabs>
          <w:tab w:val="num" w:pos="0"/>
        </w:tabs>
        <w:ind w:left="0" w:firstLine="0"/>
      </w:pPr>
    </w:lvl>
    <w:lvl w:ilvl="1">
      <w:start w:val="1"/>
      <w:numFmt w:val="none"/>
      <w:pStyle w:val="Ttulo2"/>
      <w:suff w:val="nothing"/>
      <w:lvlText w:val="%2"/>
      <w:lvlJc w:val="left"/>
      <w:pPr>
        <w:tabs>
          <w:tab w:val="num" w:pos="0"/>
        </w:tabs>
        <w:ind w:left="0" w:firstLine="0"/>
      </w:pPr>
    </w:lvl>
    <w:lvl w:ilvl="2">
      <w:start w:val="1"/>
      <w:numFmt w:val="none"/>
      <w:pStyle w:val="Ttulo3"/>
      <w:suff w:val="nothing"/>
      <w:lvlText w:val="%3"/>
      <w:lvlJc w:val="left"/>
      <w:pPr>
        <w:tabs>
          <w:tab w:val="num" w:pos="0"/>
        </w:tabs>
        <w:ind w:left="0" w:firstLine="0"/>
      </w:pPr>
    </w:lvl>
    <w:lvl w:ilvl="3">
      <w:start w:val="1"/>
      <w:numFmt w:val="none"/>
      <w:pStyle w:val="Ttulo4"/>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916475856">
    <w:abstractNumId w:val="8"/>
  </w:num>
  <w:num w:numId="2" w16cid:durableId="417946844">
    <w:abstractNumId w:val="6"/>
  </w:num>
  <w:num w:numId="3" w16cid:durableId="349843916">
    <w:abstractNumId w:val="0"/>
  </w:num>
  <w:num w:numId="4" w16cid:durableId="1809470609">
    <w:abstractNumId w:val="4"/>
  </w:num>
  <w:num w:numId="5" w16cid:durableId="1703894364">
    <w:abstractNumId w:val="2"/>
  </w:num>
  <w:num w:numId="6" w16cid:durableId="1267687267">
    <w:abstractNumId w:val="1"/>
  </w:num>
  <w:num w:numId="7" w16cid:durableId="740829597">
    <w:abstractNumId w:val="7"/>
  </w:num>
  <w:num w:numId="8" w16cid:durableId="1244025165">
    <w:abstractNumId w:val="5"/>
  </w:num>
  <w:num w:numId="9" w16cid:durableId="962182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65E0"/>
    <w:rsid w:val="001B06FA"/>
    <w:rsid w:val="002841E0"/>
    <w:rsid w:val="002A3492"/>
    <w:rsid w:val="003014D5"/>
    <w:rsid w:val="004616E2"/>
    <w:rsid w:val="004A7526"/>
    <w:rsid w:val="005122EF"/>
    <w:rsid w:val="006F704C"/>
    <w:rsid w:val="007055A6"/>
    <w:rsid w:val="00764740"/>
    <w:rsid w:val="00795502"/>
    <w:rsid w:val="007A0326"/>
    <w:rsid w:val="00821F3D"/>
    <w:rsid w:val="008A5EDA"/>
    <w:rsid w:val="009676C6"/>
    <w:rsid w:val="009A12A6"/>
    <w:rsid w:val="00A175D7"/>
    <w:rsid w:val="00B5143D"/>
    <w:rsid w:val="00C16896"/>
    <w:rsid w:val="00D065E0"/>
    <w:rsid w:val="00D525E7"/>
    <w:rsid w:val="00D774B9"/>
    <w:rsid w:val="00DB6E69"/>
    <w:rsid w:val="00EB3F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3BD0C"/>
  <w15:docId w15:val="{5544E354-3DFB-4B24-8EF3-838FC0F83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imbus Roman No9 L" w:eastAsia="DejaVu Sans" w:hAnsi="Nimbus Roman No9 L" w:cs="DejaVu Sans"/>
        <w:sz w:val="24"/>
        <w:szCs w:val="24"/>
        <w:lang w:val="es-ES" w:eastAsia="es-C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0"/>
      <w:szCs w:val="20"/>
    </w:rPr>
  </w:style>
  <w:style w:type="paragraph" w:styleId="Ttulo1">
    <w:name w:val="heading 1"/>
    <w:basedOn w:val="Normal"/>
    <w:next w:val="Normal"/>
    <w:uiPriority w:val="9"/>
    <w:qFormat/>
    <w:pPr>
      <w:keepNext/>
      <w:numPr>
        <w:numId w:val="1"/>
      </w:numPr>
      <w:outlineLvl w:val="0"/>
    </w:pPr>
    <w:rPr>
      <w:rFonts w:ascii="Arial Narrow" w:hAnsi="Arial Narrow"/>
      <w:b/>
      <w:sz w:val="16"/>
    </w:rPr>
  </w:style>
  <w:style w:type="paragraph" w:styleId="Ttulo2">
    <w:name w:val="heading 2"/>
    <w:basedOn w:val="Heading"/>
    <w:next w:val="Textoindependiente"/>
    <w:uiPriority w:val="9"/>
    <w:semiHidden/>
    <w:unhideWhenUsed/>
    <w:qFormat/>
    <w:pPr>
      <w:numPr>
        <w:ilvl w:val="1"/>
        <w:numId w:val="1"/>
      </w:numPr>
      <w:spacing w:before="200"/>
      <w:outlineLvl w:val="1"/>
    </w:pPr>
    <w:rPr>
      <w:b/>
      <w:bCs/>
      <w:sz w:val="32"/>
      <w:szCs w:val="32"/>
    </w:rPr>
  </w:style>
  <w:style w:type="paragraph" w:styleId="Ttulo3">
    <w:name w:val="heading 3"/>
    <w:basedOn w:val="Heading"/>
    <w:next w:val="Textoindependiente"/>
    <w:uiPriority w:val="9"/>
    <w:semiHidden/>
    <w:unhideWhenUsed/>
    <w:qFormat/>
    <w:pPr>
      <w:numPr>
        <w:ilvl w:val="2"/>
        <w:numId w:val="1"/>
      </w:numPr>
      <w:spacing w:before="140"/>
      <w:outlineLvl w:val="2"/>
    </w:pPr>
    <w:rPr>
      <w:b/>
      <w:bCs/>
      <w:color w:val="808080"/>
    </w:rPr>
  </w:style>
  <w:style w:type="paragraph" w:styleId="Ttulo4">
    <w:name w:val="heading 4"/>
    <w:basedOn w:val="Normal"/>
    <w:next w:val="Normal"/>
    <w:uiPriority w:val="9"/>
    <w:semiHidden/>
    <w:unhideWhenUsed/>
    <w:qFormat/>
    <w:pPr>
      <w:keepNext/>
      <w:numPr>
        <w:ilvl w:val="3"/>
        <w:numId w:val="1"/>
      </w:numPr>
      <w:tabs>
        <w:tab w:val="left" w:pos="2770"/>
      </w:tabs>
      <w:spacing w:line="320" w:lineRule="atLeast"/>
      <w:ind w:left="70"/>
      <w:outlineLvl w:val="3"/>
    </w:pPr>
    <w:rPr>
      <w:rFonts w:ascii="Arial" w:hAnsi="Arial" w:cs="Arial"/>
      <w:b/>
      <w:bCs/>
      <w:i/>
      <w:iCs/>
      <w:sz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rPr>
      <w:color w:val="0000FF"/>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Textoindependiente"/>
    <w:qFormat/>
    <w:pPr>
      <w:keepNext/>
      <w:spacing w:before="240" w:after="120"/>
    </w:pPr>
    <w:rPr>
      <w:rFonts w:ascii="Nimbus Sans L" w:eastAsia="DejaVu Sans" w:hAnsi="Nimbus Sans L" w:cs="DejaVu Sans"/>
      <w:sz w:val="28"/>
      <w:szCs w:val="28"/>
    </w:rPr>
  </w:style>
  <w:style w:type="paragraph" w:styleId="Textoindependiente">
    <w:name w:val="Body Text"/>
    <w:basedOn w:val="Normal"/>
    <w:pPr>
      <w:spacing w:after="120"/>
    </w:pPr>
  </w:style>
  <w:style w:type="paragraph" w:styleId="Lista">
    <w:name w:val="List"/>
    <w:basedOn w:val="Textoindependiente"/>
  </w:style>
  <w:style w:type="paragraph" w:styleId="Descripci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Encabezado">
    <w:name w:val="header"/>
    <w:basedOn w:val="Normal"/>
    <w:pPr>
      <w:tabs>
        <w:tab w:val="center" w:pos="4252"/>
        <w:tab w:val="right" w:pos="8504"/>
      </w:tabs>
    </w:pPr>
  </w:style>
  <w:style w:type="paragraph" w:styleId="Piedepgina">
    <w:name w:val="footer"/>
    <w:basedOn w:val="Normal"/>
    <w:pPr>
      <w:tabs>
        <w:tab w:val="center" w:pos="4252"/>
        <w:tab w:val="right" w:pos="8504"/>
      </w:tab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PreformattedText">
    <w:name w:val="Preformatted Text"/>
    <w:basedOn w:val="Normal"/>
    <w:qFormat/>
    <w:rPr>
      <w:rFonts w:ascii="DejaVu Sans Mono" w:eastAsia="DejaVu Sans Mono" w:hAnsi="DejaVu Sans Mono" w:cs="DejaVu Sans Mono"/>
    </w:rPr>
  </w:style>
  <w:style w:type="paragraph" w:customStyle="1" w:styleId="LO-Normal">
    <w:name w:val="LO-Normal"/>
    <w:qFormat/>
    <w:pPr>
      <w:widowControl w:val="0"/>
    </w:pPr>
  </w:style>
  <w:style w:type="paragraph" w:customStyle="1" w:styleId="Quotations">
    <w:name w:val="Quotations"/>
    <w:basedOn w:val="Normal"/>
    <w:qFormat/>
    <w:pPr>
      <w:spacing w:after="283"/>
      <w:ind w:left="567" w:right="567"/>
    </w:pPr>
  </w:style>
  <w:style w:type="paragraph" w:styleId="Ttulo">
    <w:name w:val="Title"/>
    <w:basedOn w:val="Heading"/>
    <w:next w:val="Textoindependiente"/>
    <w:uiPriority w:val="10"/>
    <w:qFormat/>
    <w:pPr>
      <w:jc w:val="center"/>
    </w:pPr>
    <w:rPr>
      <w:b/>
      <w:bCs/>
      <w:sz w:val="56"/>
      <w:szCs w:val="56"/>
    </w:rPr>
  </w:style>
  <w:style w:type="paragraph" w:styleId="Subttulo">
    <w:name w:val="Subtitle"/>
    <w:basedOn w:val="Heading"/>
    <w:next w:val="Textoindependiente"/>
    <w:uiPriority w:val="11"/>
    <w:qFormat/>
    <w:pPr>
      <w:spacing w:before="60"/>
      <w:jc w:val="center"/>
    </w:pPr>
    <w:rPr>
      <w:sz w:val="36"/>
      <w:szCs w:val="36"/>
    </w:rPr>
  </w:style>
  <w:style w:type="table" w:styleId="Tablaconcuadrcula">
    <w:name w:val="Table Grid"/>
    <w:basedOn w:val="Tablanormal"/>
    <w:uiPriority w:val="39"/>
    <w:rsid w:val="00705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EB3F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pccolombi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9</Pages>
  <Words>2038</Words>
  <Characters>11355</Characters>
  <Application>Microsoft Office Word</Application>
  <DocSecurity>0</DocSecurity>
  <Lines>276</Lines>
  <Paragraphs>125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Hector Martinez Mina</dc:creator>
  <dc:description/>
  <cp:lastModifiedBy>Jose Hector Martinez Mina</cp:lastModifiedBy>
  <cp:revision>12</cp:revision>
  <cp:lastPrinted>2025-11-20T22:16:00Z</cp:lastPrinted>
  <dcterms:created xsi:type="dcterms:W3CDTF">2025-11-20T21:55:00Z</dcterms:created>
  <dcterms:modified xsi:type="dcterms:W3CDTF">2025-12-23T22:24:00Z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